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FF9FA" w14:textId="77777777" w:rsidR="0003445B" w:rsidRPr="0003445B" w:rsidRDefault="0003445B" w:rsidP="0003445B">
      <w:pPr>
        <w:spacing w:line="276" w:lineRule="auto"/>
        <w:jc w:val="center"/>
        <w:rPr>
          <w:rFonts w:cstheme="minorHAnsi"/>
          <w:b/>
          <w:color w:val="C00000"/>
          <w:sz w:val="28"/>
          <w:szCs w:val="28"/>
        </w:rPr>
      </w:pPr>
      <w:r w:rsidRPr="0003445B">
        <w:rPr>
          <w:rFonts w:cstheme="minorHAnsi"/>
          <w:b/>
          <w:color w:val="C00000"/>
          <w:sz w:val="28"/>
          <w:szCs w:val="28"/>
        </w:rPr>
        <w:t xml:space="preserve">CALL FOR THE ISSB TO PRIORITIZE DEVELOPMENT OF A </w:t>
      </w:r>
    </w:p>
    <w:p w14:paraId="35D5E428" w14:textId="77777777" w:rsidR="0003445B" w:rsidRPr="0003445B" w:rsidRDefault="0003445B" w:rsidP="0003445B">
      <w:pPr>
        <w:spacing w:line="276" w:lineRule="auto"/>
        <w:jc w:val="center"/>
        <w:rPr>
          <w:rFonts w:cstheme="minorHAnsi"/>
          <w:b/>
          <w:color w:val="C00000"/>
          <w:sz w:val="28"/>
          <w:szCs w:val="28"/>
        </w:rPr>
      </w:pPr>
      <w:r w:rsidRPr="0003445B">
        <w:rPr>
          <w:rFonts w:cstheme="minorHAnsi"/>
          <w:b/>
          <w:color w:val="C00000"/>
          <w:sz w:val="28"/>
          <w:szCs w:val="28"/>
        </w:rPr>
        <w:t>THEMATIC SOCIAL-RELATED DISCLOSURES STANDARD</w:t>
      </w:r>
      <w:r>
        <w:rPr>
          <w:rFonts w:cstheme="minorHAnsi"/>
          <w:b/>
          <w:color w:val="C00000"/>
          <w:sz w:val="28"/>
          <w:szCs w:val="28"/>
        </w:rPr>
        <w:t>: KEY MESSAGES</w:t>
      </w:r>
    </w:p>
    <w:p w14:paraId="22B76B26" w14:textId="77777777" w:rsidR="00D40FC5" w:rsidRDefault="00D40FC5" w:rsidP="00D40FC5">
      <w:pPr>
        <w:spacing w:line="276" w:lineRule="auto"/>
        <w:rPr>
          <w:rFonts w:cstheme="minorHAnsi"/>
          <w:b/>
          <w:sz w:val="22"/>
          <w:szCs w:val="22"/>
        </w:rPr>
      </w:pPr>
    </w:p>
    <w:p w14:paraId="57AA3910" w14:textId="07BF3834" w:rsidR="00FC20BB" w:rsidRDefault="00FC20BB" w:rsidP="00233F6D">
      <w:pPr>
        <w:spacing w:line="276" w:lineRule="auto"/>
        <w:rPr>
          <w:rFonts w:cstheme="minorHAnsi"/>
          <w:b/>
          <w:sz w:val="22"/>
          <w:szCs w:val="22"/>
        </w:rPr>
      </w:pPr>
      <w:r w:rsidRPr="00FA0FF9">
        <w:rPr>
          <w:rFonts w:cstheme="minorHAnsi"/>
          <w:bCs/>
          <w:sz w:val="22"/>
          <w:szCs w:val="22"/>
        </w:rPr>
        <w:t>The</w:t>
      </w:r>
      <w:r w:rsidR="00233F6D" w:rsidRPr="00FA0FF9">
        <w:rPr>
          <w:rFonts w:cstheme="minorHAnsi"/>
          <w:bCs/>
          <w:sz w:val="22"/>
          <w:szCs w:val="22"/>
        </w:rPr>
        <w:t xml:space="preserve"> International Sustainability Standards Board (ISSB) </w:t>
      </w:r>
      <w:r w:rsidRPr="00FA0FF9">
        <w:rPr>
          <w:rFonts w:cstheme="minorHAnsi"/>
          <w:bCs/>
          <w:sz w:val="22"/>
          <w:szCs w:val="22"/>
        </w:rPr>
        <w:t xml:space="preserve">has issued a proposed set of Agenda Priorities, which include ‘human capital’ and ‘human rights’ with regard to social issues. While these two </w:t>
      </w:r>
      <w:r w:rsidR="00514CBA" w:rsidRPr="00FA0FF9">
        <w:rPr>
          <w:rFonts w:cstheme="minorHAnsi"/>
          <w:bCs/>
          <w:sz w:val="22"/>
          <w:szCs w:val="22"/>
        </w:rPr>
        <w:t>potential</w:t>
      </w:r>
      <w:r w:rsidR="00A64DB7" w:rsidRPr="00FA0FF9">
        <w:rPr>
          <w:rFonts w:cstheme="minorHAnsi"/>
          <w:bCs/>
          <w:sz w:val="22"/>
          <w:szCs w:val="22"/>
        </w:rPr>
        <w:t xml:space="preserve"> agenda items</w:t>
      </w:r>
      <w:r w:rsidRPr="00FA0FF9">
        <w:rPr>
          <w:rFonts w:cstheme="minorHAnsi"/>
          <w:bCs/>
          <w:sz w:val="22"/>
          <w:szCs w:val="22"/>
        </w:rPr>
        <w:t xml:space="preserve"> contain a wealth of </w:t>
      </w:r>
      <w:r w:rsidR="005A7DBC" w:rsidRPr="00FA0FF9">
        <w:rPr>
          <w:rFonts w:cstheme="minorHAnsi"/>
          <w:bCs/>
          <w:sz w:val="22"/>
          <w:szCs w:val="22"/>
        </w:rPr>
        <w:t>relevant</w:t>
      </w:r>
      <w:r w:rsidRPr="00FA0FF9">
        <w:rPr>
          <w:rFonts w:cstheme="minorHAnsi"/>
          <w:bCs/>
          <w:sz w:val="22"/>
          <w:szCs w:val="22"/>
        </w:rPr>
        <w:t xml:space="preserve"> social </w:t>
      </w:r>
      <w:r w:rsidR="005A7DBC" w:rsidRPr="00FA0FF9">
        <w:rPr>
          <w:rFonts w:cstheme="minorHAnsi"/>
          <w:bCs/>
          <w:sz w:val="22"/>
          <w:szCs w:val="22"/>
        </w:rPr>
        <w:t>issues</w:t>
      </w:r>
      <w:r w:rsidRPr="00FA0FF9">
        <w:rPr>
          <w:rFonts w:cstheme="minorHAnsi"/>
          <w:bCs/>
          <w:sz w:val="22"/>
          <w:szCs w:val="22"/>
        </w:rPr>
        <w:t xml:space="preserve"> for financial disclosures, </w:t>
      </w:r>
      <w:r w:rsidR="00BD61CD" w:rsidRPr="00FA0FF9">
        <w:rPr>
          <w:rFonts w:cstheme="minorHAnsi"/>
          <w:bCs/>
          <w:sz w:val="22"/>
          <w:szCs w:val="22"/>
        </w:rPr>
        <w:t>they are substantially overlapping and intertwined categories of information.</w:t>
      </w:r>
      <w:r w:rsidR="00BD61CD">
        <w:rPr>
          <w:rFonts w:cstheme="minorHAnsi"/>
          <w:b/>
          <w:sz w:val="22"/>
          <w:szCs w:val="22"/>
        </w:rPr>
        <w:t xml:space="preserve"> </w:t>
      </w:r>
      <w:r w:rsidR="00D40FC5" w:rsidRPr="00D40FC5">
        <w:rPr>
          <w:rFonts w:cstheme="minorHAnsi"/>
          <w:b/>
          <w:sz w:val="22"/>
          <w:szCs w:val="22"/>
        </w:rPr>
        <w:t xml:space="preserve">Shift, the B Team and the World Benchmarking Alliance share a concern that this approach will foster further confusion and complexity in the market given the extent to which these two categories are overlapping and intertwined. </w:t>
      </w:r>
      <w:r w:rsidR="00BD61CD" w:rsidRPr="00FA0FF9">
        <w:rPr>
          <w:rFonts w:cstheme="minorHAnsi"/>
          <w:bCs/>
          <w:sz w:val="22"/>
          <w:szCs w:val="22"/>
        </w:rPr>
        <w:t>T</w:t>
      </w:r>
      <w:r w:rsidR="00DF74C1" w:rsidRPr="00FA0FF9">
        <w:rPr>
          <w:rFonts w:cstheme="minorHAnsi"/>
          <w:bCs/>
          <w:sz w:val="22"/>
          <w:szCs w:val="22"/>
        </w:rPr>
        <w:t>aking t</w:t>
      </w:r>
      <w:r w:rsidR="00BD61CD" w:rsidRPr="00FA0FF9">
        <w:rPr>
          <w:rFonts w:cstheme="minorHAnsi"/>
          <w:bCs/>
          <w:sz w:val="22"/>
          <w:szCs w:val="22"/>
        </w:rPr>
        <w:t>his approach</w:t>
      </w:r>
      <w:r w:rsidRPr="00FA0FF9">
        <w:rPr>
          <w:rFonts w:cstheme="minorHAnsi"/>
          <w:bCs/>
          <w:sz w:val="22"/>
          <w:szCs w:val="22"/>
        </w:rPr>
        <w:t xml:space="preserve"> will make it harder for both companies and the providers of capital to navigate the issues, assess materiality</w:t>
      </w:r>
      <w:r w:rsidR="00FA67BC" w:rsidRPr="00FA0FF9">
        <w:rPr>
          <w:rFonts w:cstheme="minorHAnsi"/>
          <w:bCs/>
          <w:sz w:val="22"/>
          <w:szCs w:val="22"/>
        </w:rPr>
        <w:t>,</w:t>
      </w:r>
      <w:r w:rsidRPr="00FA0FF9">
        <w:rPr>
          <w:rFonts w:cstheme="minorHAnsi"/>
          <w:bCs/>
          <w:sz w:val="22"/>
          <w:szCs w:val="22"/>
        </w:rPr>
        <w:t xml:space="preserve"> and provide and analyze disclosures in a coherent manner that enables effective decision-making.</w:t>
      </w:r>
      <w:r>
        <w:rPr>
          <w:rFonts w:cstheme="minorHAnsi"/>
          <w:b/>
          <w:sz w:val="22"/>
          <w:szCs w:val="22"/>
        </w:rPr>
        <w:t xml:space="preserve"> </w:t>
      </w:r>
    </w:p>
    <w:p w14:paraId="24E2C35B" w14:textId="77777777" w:rsidR="00D40FC5" w:rsidRDefault="00D40FC5" w:rsidP="00233F6D">
      <w:pPr>
        <w:spacing w:line="276" w:lineRule="auto"/>
        <w:rPr>
          <w:rFonts w:cstheme="minorHAnsi"/>
          <w:b/>
          <w:sz w:val="22"/>
          <w:szCs w:val="22"/>
        </w:rPr>
      </w:pPr>
    </w:p>
    <w:p w14:paraId="4BE0886F" w14:textId="073CD47F" w:rsidR="00A64DB7" w:rsidRDefault="00D40FC5" w:rsidP="00233F6D">
      <w:pPr>
        <w:spacing w:line="276" w:lineRule="auto"/>
        <w:rPr>
          <w:rFonts w:cstheme="minorHAnsi"/>
          <w:b/>
          <w:sz w:val="22"/>
          <w:szCs w:val="22"/>
        </w:rPr>
      </w:pPr>
      <w:r>
        <w:rPr>
          <w:rFonts w:cstheme="minorHAnsi"/>
          <w:b/>
          <w:sz w:val="22"/>
          <w:szCs w:val="22"/>
        </w:rPr>
        <w:t>In t</w:t>
      </w:r>
      <w:r w:rsidR="00FC20BB">
        <w:rPr>
          <w:rFonts w:cstheme="minorHAnsi"/>
          <w:b/>
          <w:sz w:val="22"/>
          <w:szCs w:val="22"/>
        </w:rPr>
        <w:t>his note</w:t>
      </w:r>
      <w:r>
        <w:rPr>
          <w:rFonts w:cstheme="minorHAnsi"/>
          <w:b/>
          <w:sz w:val="22"/>
          <w:szCs w:val="22"/>
        </w:rPr>
        <w:t>, we</w:t>
      </w:r>
      <w:r w:rsidR="00FC20BB">
        <w:rPr>
          <w:rFonts w:cstheme="minorHAnsi"/>
          <w:b/>
          <w:sz w:val="22"/>
          <w:szCs w:val="22"/>
        </w:rPr>
        <w:t xml:space="preserve"> set out the </w:t>
      </w:r>
      <w:r w:rsidR="00B61F4A">
        <w:rPr>
          <w:rFonts w:cstheme="minorHAnsi"/>
          <w:b/>
          <w:sz w:val="22"/>
          <w:szCs w:val="22"/>
        </w:rPr>
        <w:t xml:space="preserve">opportunity and the </w:t>
      </w:r>
      <w:r w:rsidR="00CD7EF1">
        <w:rPr>
          <w:rFonts w:cstheme="minorHAnsi"/>
          <w:b/>
          <w:sz w:val="22"/>
          <w:szCs w:val="22"/>
        </w:rPr>
        <w:t>rationale for the ISSB to start instead with a general</w:t>
      </w:r>
      <w:r w:rsidR="00233F6D" w:rsidRPr="008C2F54">
        <w:rPr>
          <w:rFonts w:cstheme="minorHAnsi"/>
          <w:b/>
          <w:sz w:val="22"/>
          <w:szCs w:val="22"/>
        </w:rPr>
        <w:t xml:space="preserve"> thematic standard on ‘social-related’ disclosures</w:t>
      </w:r>
      <w:r w:rsidR="00CD7EF1">
        <w:rPr>
          <w:rFonts w:cstheme="minorHAnsi"/>
          <w:b/>
          <w:sz w:val="22"/>
          <w:szCs w:val="22"/>
        </w:rPr>
        <w:t xml:space="preserve">, much as it did for climate. Such a standard would </w:t>
      </w:r>
      <w:r w:rsidR="00FA67BC">
        <w:rPr>
          <w:rFonts w:cstheme="minorHAnsi"/>
          <w:b/>
          <w:sz w:val="22"/>
          <w:szCs w:val="22"/>
        </w:rPr>
        <w:t>set the foundation for</w:t>
      </w:r>
      <w:r w:rsidR="00CD7EF1">
        <w:rPr>
          <w:rFonts w:cstheme="minorHAnsi"/>
          <w:b/>
          <w:sz w:val="22"/>
          <w:szCs w:val="22"/>
        </w:rPr>
        <w:t xml:space="preserve"> disclosures</w:t>
      </w:r>
      <w:r w:rsidR="005A7DBC">
        <w:rPr>
          <w:rFonts w:cstheme="minorHAnsi"/>
          <w:b/>
          <w:sz w:val="22"/>
          <w:szCs w:val="22"/>
        </w:rPr>
        <w:t xml:space="preserve"> of relevance for all companies</w:t>
      </w:r>
      <w:r w:rsidR="00CD7EF1">
        <w:rPr>
          <w:rFonts w:cstheme="minorHAnsi"/>
          <w:b/>
          <w:sz w:val="22"/>
          <w:szCs w:val="22"/>
        </w:rPr>
        <w:t xml:space="preserve"> regarding </w:t>
      </w:r>
      <w:r w:rsidR="00FA67BC">
        <w:rPr>
          <w:rFonts w:cstheme="minorHAnsi"/>
          <w:b/>
          <w:sz w:val="22"/>
          <w:szCs w:val="22"/>
        </w:rPr>
        <w:t xml:space="preserve">those </w:t>
      </w:r>
      <w:r w:rsidR="00CD7EF1">
        <w:rPr>
          <w:rFonts w:cstheme="minorHAnsi"/>
          <w:b/>
          <w:sz w:val="22"/>
          <w:szCs w:val="22"/>
        </w:rPr>
        <w:t>aspects of governance, strategy</w:t>
      </w:r>
      <w:r w:rsidR="00DF74C1">
        <w:rPr>
          <w:rFonts w:cstheme="minorHAnsi"/>
          <w:b/>
          <w:sz w:val="22"/>
          <w:szCs w:val="22"/>
        </w:rPr>
        <w:t xml:space="preserve">, </w:t>
      </w:r>
      <w:r w:rsidR="00CD7EF1">
        <w:rPr>
          <w:rFonts w:cstheme="minorHAnsi"/>
          <w:b/>
          <w:sz w:val="22"/>
          <w:szCs w:val="22"/>
        </w:rPr>
        <w:t>risk management</w:t>
      </w:r>
      <w:r w:rsidR="00A64DB7">
        <w:rPr>
          <w:rFonts w:cstheme="minorHAnsi"/>
          <w:b/>
          <w:sz w:val="22"/>
          <w:szCs w:val="22"/>
        </w:rPr>
        <w:t xml:space="preserve">, </w:t>
      </w:r>
      <w:r w:rsidR="00BD61CD">
        <w:rPr>
          <w:rFonts w:cstheme="minorHAnsi"/>
          <w:b/>
          <w:sz w:val="22"/>
          <w:szCs w:val="22"/>
        </w:rPr>
        <w:t>and</w:t>
      </w:r>
      <w:r w:rsidR="00A64DB7">
        <w:rPr>
          <w:rFonts w:cstheme="minorHAnsi"/>
          <w:b/>
          <w:sz w:val="22"/>
          <w:szCs w:val="22"/>
        </w:rPr>
        <w:t xml:space="preserve"> metrics and targets</w:t>
      </w:r>
      <w:r w:rsidR="000B51E8">
        <w:rPr>
          <w:rFonts w:cstheme="minorHAnsi"/>
          <w:b/>
          <w:sz w:val="22"/>
          <w:szCs w:val="22"/>
        </w:rPr>
        <w:t xml:space="preserve"> </w:t>
      </w:r>
      <w:r w:rsidR="00CD7EF1">
        <w:rPr>
          <w:rFonts w:cstheme="minorHAnsi"/>
          <w:b/>
          <w:sz w:val="22"/>
          <w:szCs w:val="22"/>
        </w:rPr>
        <w:t>that are particular to social matters</w:t>
      </w:r>
      <w:r w:rsidR="00233F6D" w:rsidRPr="008C2F54">
        <w:rPr>
          <w:rFonts w:cstheme="minorHAnsi"/>
          <w:b/>
          <w:sz w:val="22"/>
          <w:szCs w:val="22"/>
        </w:rPr>
        <w:t xml:space="preserve">. </w:t>
      </w:r>
      <w:r w:rsidR="00A64DB7">
        <w:rPr>
          <w:rFonts w:cstheme="minorHAnsi"/>
          <w:b/>
          <w:sz w:val="22"/>
          <w:szCs w:val="22"/>
        </w:rPr>
        <w:t xml:space="preserve">It </w:t>
      </w:r>
      <w:r w:rsidR="00B61F4A">
        <w:rPr>
          <w:rFonts w:cstheme="minorHAnsi"/>
          <w:b/>
          <w:sz w:val="22"/>
          <w:szCs w:val="22"/>
        </w:rPr>
        <w:t>w</w:t>
      </w:r>
      <w:r w:rsidR="00A64DB7">
        <w:rPr>
          <w:rFonts w:cstheme="minorHAnsi"/>
          <w:b/>
          <w:sz w:val="22"/>
          <w:szCs w:val="22"/>
        </w:rPr>
        <w:t xml:space="preserve">ould </w:t>
      </w:r>
      <w:r w:rsidR="00B61F4A">
        <w:rPr>
          <w:rFonts w:cstheme="minorHAnsi"/>
          <w:b/>
          <w:sz w:val="22"/>
          <w:szCs w:val="22"/>
        </w:rPr>
        <w:t>enable</w:t>
      </w:r>
      <w:r w:rsidR="00A64DB7">
        <w:rPr>
          <w:rFonts w:cstheme="minorHAnsi"/>
          <w:b/>
          <w:sz w:val="22"/>
          <w:szCs w:val="22"/>
        </w:rPr>
        <w:t xml:space="preserve"> </w:t>
      </w:r>
      <w:r w:rsidR="00B61F4A">
        <w:rPr>
          <w:rFonts w:cstheme="minorHAnsi"/>
          <w:b/>
          <w:sz w:val="22"/>
          <w:szCs w:val="22"/>
        </w:rPr>
        <w:t xml:space="preserve">a clear architecture for social issues and deliver </w:t>
      </w:r>
      <w:r w:rsidR="00A64DB7">
        <w:rPr>
          <w:rFonts w:cstheme="minorHAnsi"/>
          <w:b/>
          <w:sz w:val="22"/>
          <w:szCs w:val="22"/>
        </w:rPr>
        <w:t xml:space="preserve">the </w:t>
      </w:r>
      <w:r w:rsidR="00DF74C1">
        <w:rPr>
          <w:rFonts w:cstheme="minorHAnsi"/>
          <w:b/>
          <w:sz w:val="22"/>
          <w:szCs w:val="22"/>
        </w:rPr>
        <w:t>contextual</w:t>
      </w:r>
      <w:r w:rsidR="00A64DB7">
        <w:rPr>
          <w:rFonts w:cstheme="minorHAnsi"/>
          <w:b/>
          <w:sz w:val="22"/>
          <w:szCs w:val="22"/>
        </w:rPr>
        <w:t xml:space="preserve"> information </w:t>
      </w:r>
      <w:r w:rsidR="00B61F4A">
        <w:rPr>
          <w:rFonts w:cstheme="minorHAnsi"/>
          <w:b/>
          <w:sz w:val="22"/>
          <w:szCs w:val="22"/>
        </w:rPr>
        <w:t>that</w:t>
      </w:r>
      <w:r w:rsidR="00A64DB7">
        <w:rPr>
          <w:rFonts w:cstheme="minorHAnsi"/>
          <w:b/>
          <w:sz w:val="22"/>
          <w:szCs w:val="22"/>
        </w:rPr>
        <w:t xml:space="preserve"> providers of capital </w:t>
      </w:r>
      <w:r w:rsidR="00B61F4A">
        <w:rPr>
          <w:rFonts w:cstheme="minorHAnsi"/>
          <w:b/>
          <w:sz w:val="22"/>
          <w:szCs w:val="22"/>
        </w:rPr>
        <w:t xml:space="preserve">need in order </w:t>
      </w:r>
      <w:r w:rsidR="00A64DB7">
        <w:rPr>
          <w:rFonts w:cstheme="minorHAnsi"/>
          <w:b/>
          <w:sz w:val="22"/>
          <w:szCs w:val="22"/>
        </w:rPr>
        <w:t>to interpret disclosures on</w:t>
      </w:r>
      <w:r w:rsidR="00DF74C1">
        <w:rPr>
          <w:rFonts w:cstheme="minorHAnsi"/>
          <w:b/>
          <w:sz w:val="22"/>
          <w:szCs w:val="22"/>
        </w:rPr>
        <w:t xml:space="preserve"> </w:t>
      </w:r>
      <w:r w:rsidR="000B51E8">
        <w:rPr>
          <w:rFonts w:cstheme="minorHAnsi"/>
          <w:b/>
          <w:sz w:val="22"/>
          <w:szCs w:val="22"/>
        </w:rPr>
        <w:t>more specific</w:t>
      </w:r>
      <w:r w:rsidR="00A64DB7">
        <w:rPr>
          <w:rFonts w:cstheme="minorHAnsi"/>
          <w:b/>
          <w:sz w:val="22"/>
          <w:szCs w:val="22"/>
        </w:rPr>
        <w:t xml:space="preserve"> topics </w:t>
      </w:r>
      <w:r w:rsidR="00BD61CD">
        <w:rPr>
          <w:rFonts w:cstheme="minorHAnsi"/>
          <w:b/>
          <w:sz w:val="22"/>
          <w:szCs w:val="22"/>
        </w:rPr>
        <w:t>relevant to</w:t>
      </w:r>
      <w:r w:rsidR="008532BB">
        <w:rPr>
          <w:rFonts w:cstheme="minorHAnsi"/>
          <w:b/>
          <w:sz w:val="22"/>
          <w:szCs w:val="22"/>
        </w:rPr>
        <w:t xml:space="preserve"> </w:t>
      </w:r>
      <w:r w:rsidR="00A64DB7">
        <w:rPr>
          <w:rFonts w:cstheme="minorHAnsi"/>
          <w:b/>
          <w:sz w:val="22"/>
          <w:szCs w:val="22"/>
        </w:rPr>
        <w:t>human capital and</w:t>
      </w:r>
      <w:r w:rsidR="00BD61CD">
        <w:rPr>
          <w:rFonts w:cstheme="minorHAnsi"/>
          <w:b/>
          <w:sz w:val="22"/>
          <w:szCs w:val="22"/>
        </w:rPr>
        <w:t>/or</w:t>
      </w:r>
      <w:r w:rsidR="00A64DB7">
        <w:rPr>
          <w:rFonts w:cstheme="minorHAnsi"/>
          <w:b/>
          <w:sz w:val="22"/>
          <w:szCs w:val="22"/>
        </w:rPr>
        <w:t xml:space="preserve"> human rights</w:t>
      </w:r>
      <w:r w:rsidR="00036D6F">
        <w:rPr>
          <w:rFonts w:cstheme="minorHAnsi"/>
          <w:b/>
          <w:sz w:val="22"/>
          <w:szCs w:val="22"/>
        </w:rPr>
        <w:t xml:space="preserve"> as well as social capital</w:t>
      </w:r>
      <w:r w:rsidR="00A64DB7">
        <w:rPr>
          <w:rFonts w:cstheme="minorHAnsi"/>
          <w:b/>
          <w:sz w:val="22"/>
          <w:szCs w:val="22"/>
        </w:rPr>
        <w:t xml:space="preserve">. </w:t>
      </w:r>
    </w:p>
    <w:p w14:paraId="25FDA442" w14:textId="77777777" w:rsidR="00A64DB7" w:rsidRDefault="00A64DB7" w:rsidP="00233F6D">
      <w:pPr>
        <w:spacing w:line="276" w:lineRule="auto"/>
        <w:rPr>
          <w:rFonts w:cstheme="minorHAnsi"/>
          <w:b/>
          <w:sz w:val="22"/>
          <w:szCs w:val="22"/>
        </w:rPr>
      </w:pPr>
    </w:p>
    <w:p w14:paraId="31B8F0E6" w14:textId="29017B5A" w:rsidR="00A64DB7" w:rsidRDefault="00A64DB7" w:rsidP="00233F6D">
      <w:pPr>
        <w:spacing w:line="276" w:lineRule="auto"/>
        <w:rPr>
          <w:rFonts w:cstheme="minorHAnsi"/>
          <w:b/>
          <w:sz w:val="22"/>
          <w:szCs w:val="22"/>
        </w:rPr>
      </w:pPr>
      <w:r>
        <w:rPr>
          <w:rFonts w:cstheme="minorHAnsi"/>
          <w:b/>
          <w:sz w:val="22"/>
          <w:szCs w:val="22"/>
        </w:rPr>
        <w:t xml:space="preserve">The ISSB has only one opportunity to set the right foundations for disclosures on social matters. Its choices at this point will shape the future success of its work with regard to the social dimensions of sustainability, including as they </w:t>
      </w:r>
      <w:r w:rsidR="00BD61CD">
        <w:rPr>
          <w:rFonts w:cstheme="minorHAnsi"/>
          <w:b/>
          <w:sz w:val="22"/>
          <w:szCs w:val="22"/>
        </w:rPr>
        <w:t>relate to</w:t>
      </w:r>
      <w:r>
        <w:rPr>
          <w:rFonts w:cstheme="minorHAnsi"/>
          <w:b/>
          <w:sz w:val="22"/>
          <w:szCs w:val="22"/>
        </w:rPr>
        <w:t xml:space="preserve"> environmental and governance matters.</w:t>
      </w:r>
    </w:p>
    <w:p w14:paraId="228EEA32" w14:textId="77777777" w:rsidR="00A64DB7" w:rsidRDefault="00A64DB7" w:rsidP="00233F6D">
      <w:pPr>
        <w:spacing w:line="276" w:lineRule="auto"/>
        <w:rPr>
          <w:rFonts w:cstheme="minorHAnsi"/>
          <w:b/>
          <w:sz w:val="22"/>
          <w:szCs w:val="22"/>
        </w:rPr>
      </w:pPr>
    </w:p>
    <w:p w14:paraId="2DCC300B" w14:textId="36A1B224" w:rsidR="00A64DB7" w:rsidRDefault="00A64DB7" w:rsidP="00233F6D">
      <w:pPr>
        <w:spacing w:line="276" w:lineRule="auto"/>
        <w:rPr>
          <w:rFonts w:cstheme="minorHAnsi"/>
          <w:sz w:val="22"/>
          <w:szCs w:val="22"/>
        </w:rPr>
      </w:pPr>
      <w:r>
        <w:rPr>
          <w:rFonts w:cstheme="minorHAnsi"/>
          <w:sz w:val="22"/>
          <w:szCs w:val="22"/>
        </w:rPr>
        <w:t xml:space="preserve"> The</w:t>
      </w:r>
      <w:r w:rsidR="009310BD">
        <w:rPr>
          <w:rFonts w:cstheme="minorHAnsi"/>
          <w:sz w:val="22"/>
          <w:szCs w:val="22"/>
        </w:rPr>
        <w:t xml:space="preserve"> key </w:t>
      </w:r>
      <w:r w:rsidR="00824D3E">
        <w:rPr>
          <w:rFonts w:cstheme="minorHAnsi"/>
          <w:sz w:val="22"/>
          <w:szCs w:val="22"/>
        </w:rPr>
        <w:t>messages</w:t>
      </w:r>
      <w:r>
        <w:rPr>
          <w:rFonts w:cstheme="minorHAnsi"/>
          <w:sz w:val="22"/>
          <w:szCs w:val="22"/>
        </w:rPr>
        <w:t xml:space="preserve"> </w:t>
      </w:r>
      <w:r w:rsidR="009310BD">
        <w:rPr>
          <w:rFonts w:cstheme="minorHAnsi"/>
          <w:sz w:val="22"/>
          <w:szCs w:val="22"/>
        </w:rPr>
        <w:t xml:space="preserve">set out below </w:t>
      </w:r>
      <w:r>
        <w:rPr>
          <w:rFonts w:cstheme="minorHAnsi"/>
          <w:sz w:val="22"/>
          <w:szCs w:val="22"/>
        </w:rPr>
        <w:t xml:space="preserve">are the result of discussion across a broad range of business, investor, civil society and multi-stakeholder organizations. They are provided as a resource for organizations whose own views align with the proposition above, to draw upon in their responses to the ISSB as they see fit. </w:t>
      </w:r>
      <w:r w:rsidR="00CC1482">
        <w:rPr>
          <w:rFonts w:cstheme="minorHAnsi"/>
          <w:sz w:val="22"/>
          <w:szCs w:val="22"/>
        </w:rPr>
        <w:t xml:space="preserve"> </w:t>
      </w:r>
    </w:p>
    <w:p w14:paraId="56F17635" w14:textId="77777777" w:rsidR="008C2F54" w:rsidRDefault="008C2F54" w:rsidP="00233F6D">
      <w:pPr>
        <w:spacing w:line="276" w:lineRule="auto"/>
        <w:rPr>
          <w:rFonts w:cstheme="minorHAnsi"/>
          <w:sz w:val="22"/>
          <w:szCs w:val="22"/>
        </w:rPr>
      </w:pPr>
    </w:p>
    <w:p w14:paraId="1B201C20" w14:textId="07B846E2" w:rsidR="0096581A" w:rsidRPr="00B61F4A" w:rsidRDefault="0096581A" w:rsidP="002C2E25">
      <w:pPr>
        <w:pStyle w:val="ListParagraph"/>
        <w:numPr>
          <w:ilvl w:val="0"/>
          <w:numId w:val="11"/>
        </w:numPr>
        <w:spacing w:line="276" w:lineRule="auto"/>
        <w:rPr>
          <w:rFonts w:cstheme="minorHAnsi"/>
          <w:b/>
          <w:color w:val="C00000"/>
          <w:sz w:val="22"/>
          <w:szCs w:val="22"/>
        </w:rPr>
      </w:pPr>
      <w:r w:rsidRPr="00B61F4A">
        <w:rPr>
          <w:rFonts w:cstheme="minorHAnsi"/>
          <w:b/>
          <w:color w:val="C00000"/>
        </w:rPr>
        <w:t xml:space="preserve"> The </w:t>
      </w:r>
      <w:r w:rsidR="00401B9D" w:rsidRPr="00B61F4A">
        <w:rPr>
          <w:rFonts w:cstheme="minorHAnsi"/>
          <w:b/>
          <w:color w:val="C00000"/>
        </w:rPr>
        <w:t>challenges</w:t>
      </w:r>
      <w:r w:rsidR="000E2062" w:rsidRPr="00B61F4A">
        <w:rPr>
          <w:rFonts w:cstheme="minorHAnsi"/>
          <w:b/>
          <w:color w:val="C00000"/>
        </w:rPr>
        <w:t xml:space="preserve"> </w:t>
      </w:r>
      <w:r w:rsidR="005A7DBC" w:rsidRPr="00B61F4A">
        <w:rPr>
          <w:rFonts w:cstheme="minorHAnsi"/>
          <w:b/>
          <w:color w:val="C00000"/>
        </w:rPr>
        <w:t>with the</w:t>
      </w:r>
      <w:r w:rsidR="000E2062" w:rsidRPr="00B61F4A">
        <w:rPr>
          <w:rFonts w:cstheme="minorHAnsi"/>
          <w:b/>
          <w:color w:val="C00000"/>
        </w:rPr>
        <w:t xml:space="preserve"> </w:t>
      </w:r>
      <w:r w:rsidR="00B61F4A" w:rsidRPr="00B61F4A">
        <w:rPr>
          <w:rFonts w:cstheme="minorHAnsi"/>
          <w:b/>
          <w:color w:val="C00000"/>
        </w:rPr>
        <w:t xml:space="preserve">ISSB’s proposed </w:t>
      </w:r>
      <w:r w:rsidR="000E2062" w:rsidRPr="00B61F4A">
        <w:rPr>
          <w:rFonts w:cstheme="minorHAnsi"/>
          <w:b/>
          <w:color w:val="C00000"/>
        </w:rPr>
        <w:t>approach to social-related disclosures</w:t>
      </w:r>
      <w:r w:rsidR="005A7DBC" w:rsidRPr="00B61F4A">
        <w:rPr>
          <w:rFonts w:cstheme="minorHAnsi"/>
          <w:b/>
          <w:color w:val="C00000"/>
        </w:rPr>
        <w:t xml:space="preserve"> </w:t>
      </w:r>
    </w:p>
    <w:p w14:paraId="4383FDDB" w14:textId="77777777" w:rsidR="00B61F4A" w:rsidRPr="00B61F4A" w:rsidRDefault="00B61F4A" w:rsidP="00B61F4A">
      <w:pPr>
        <w:pStyle w:val="ListParagraph"/>
        <w:spacing w:line="276" w:lineRule="auto"/>
        <w:ind w:left="360"/>
        <w:rPr>
          <w:rFonts w:cstheme="minorHAnsi"/>
          <w:b/>
          <w:sz w:val="22"/>
          <w:szCs w:val="22"/>
        </w:rPr>
      </w:pPr>
    </w:p>
    <w:p w14:paraId="6A5456AA" w14:textId="346FAA90" w:rsidR="00824D3E" w:rsidRPr="00385F1A" w:rsidRDefault="00AB63C5" w:rsidP="009310BD">
      <w:pPr>
        <w:pStyle w:val="ListParagraph"/>
        <w:numPr>
          <w:ilvl w:val="0"/>
          <w:numId w:val="16"/>
        </w:numPr>
        <w:rPr>
          <w:rFonts w:cstheme="minorHAnsi"/>
          <w:b/>
          <w:sz w:val="22"/>
          <w:szCs w:val="22"/>
        </w:rPr>
      </w:pPr>
      <w:r w:rsidRPr="009310BD">
        <w:rPr>
          <w:rFonts w:cstheme="minorHAnsi"/>
          <w:b/>
          <w:sz w:val="22"/>
          <w:szCs w:val="22"/>
        </w:rPr>
        <w:t>T</w:t>
      </w:r>
      <w:r w:rsidR="00824D3E" w:rsidRPr="00385F1A">
        <w:rPr>
          <w:rFonts w:cstheme="minorHAnsi"/>
          <w:b/>
          <w:sz w:val="22"/>
          <w:szCs w:val="22"/>
        </w:rPr>
        <w:t>he ISSB</w:t>
      </w:r>
      <w:r w:rsidR="00401B9D">
        <w:rPr>
          <w:rFonts w:cstheme="minorHAnsi"/>
          <w:b/>
          <w:sz w:val="22"/>
          <w:szCs w:val="22"/>
        </w:rPr>
        <w:t>’</w:t>
      </w:r>
      <w:r w:rsidR="00824D3E" w:rsidRPr="00385F1A">
        <w:rPr>
          <w:rFonts w:cstheme="minorHAnsi"/>
          <w:b/>
          <w:sz w:val="22"/>
          <w:szCs w:val="22"/>
        </w:rPr>
        <w:t xml:space="preserve">s proposal to include human capital and/or human rights in its </w:t>
      </w:r>
      <w:r w:rsidR="00401B9D">
        <w:rPr>
          <w:rFonts w:cstheme="minorHAnsi"/>
          <w:b/>
          <w:sz w:val="22"/>
          <w:szCs w:val="22"/>
        </w:rPr>
        <w:t xml:space="preserve">near-term agenda </w:t>
      </w:r>
      <w:r w:rsidR="00824D3E" w:rsidRPr="00385F1A">
        <w:rPr>
          <w:rFonts w:cstheme="minorHAnsi"/>
          <w:b/>
          <w:sz w:val="22"/>
          <w:szCs w:val="22"/>
        </w:rPr>
        <w:t xml:space="preserve">is a welcome recognition of the significance of </w:t>
      </w:r>
      <w:r w:rsidR="00401B9D">
        <w:rPr>
          <w:rFonts w:cstheme="minorHAnsi"/>
          <w:b/>
          <w:sz w:val="22"/>
          <w:szCs w:val="22"/>
        </w:rPr>
        <w:t>social</w:t>
      </w:r>
      <w:r w:rsidR="00824D3E" w:rsidRPr="00385F1A">
        <w:rPr>
          <w:rFonts w:cstheme="minorHAnsi"/>
          <w:b/>
          <w:sz w:val="22"/>
          <w:szCs w:val="22"/>
        </w:rPr>
        <w:t xml:space="preserve"> issues for material </w:t>
      </w:r>
      <w:r w:rsidR="00394C91">
        <w:rPr>
          <w:rFonts w:cstheme="minorHAnsi"/>
          <w:b/>
          <w:sz w:val="22"/>
          <w:szCs w:val="22"/>
        </w:rPr>
        <w:t xml:space="preserve">financial </w:t>
      </w:r>
      <w:r w:rsidR="00824D3E" w:rsidRPr="00385F1A">
        <w:rPr>
          <w:rFonts w:cstheme="minorHAnsi"/>
          <w:b/>
          <w:sz w:val="22"/>
          <w:szCs w:val="22"/>
        </w:rPr>
        <w:t>disclosures</w:t>
      </w:r>
      <w:r w:rsidR="00053937">
        <w:rPr>
          <w:rFonts w:cstheme="minorHAnsi"/>
          <w:b/>
          <w:sz w:val="22"/>
          <w:szCs w:val="22"/>
        </w:rPr>
        <w:t>. However</w:t>
      </w:r>
      <w:r w:rsidR="00824D3E" w:rsidRPr="00385F1A">
        <w:rPr>
          <w:rFonts w:cstheme="minorHAnsi"/>
          <w:b/>
          <w:sz w:val="22"/>
          <w:szCs w:val="22"/>
        </w:rPr>
        <w:t xml:space="preserve">, </w:t>
      </w:r>
      <w:r w:rsidR="00BD61CD">
        <w:rPr>
          <w:rFonts w:cstheme="minorHAnsi"/>
          <w:b/>
          <w:sz w:val="22"/>
          <w:szCs w:val="22"/>
        </w:rPr>
        <w:t>the proposed approach</w:t>
      </w:r>
      <w:r w:rsidR="00824D3E" w:rsidRPr="00385F1A">
        <w:rPr>
          <w:rFonts w:cstheme="minorHAnsi"/>
          <w:b/>
          <w:sz w:val="22"/>
          <w:szCs w:val="22"/>
        </w:rPr>
        <w:t xml:space="preserve"> risks compounding, rather than reducing, the confusion that exists </w:t>
      </w:r>
      <w:r w:rsidR="00401B9D">
        <w:rPr>
          <w:rFonts w:cstheme="minorHAnsi"/>
          <w:b/>
          <w:sz w:val="22"/>
          <w:szCs w:val="22"/>
        </w:rPr>
        <w:t xml:space="preserve">in the market </w:t>
      </w:r>
      <w:r w:rsidR="00824D3E" w:rsidRPr="00385F1A">
        <w:rPr>
          <w:rFonts w:cstheme="minorHAnsi"/>
          <w:b/>
          <w:sz w:val="22"/>
          <w:szCs w:val="22"/>
        </w:rPr>
        <w:t xml:space="preserve">with regard to social-related disclosures. </w:t>
      </w:r>
    </w:p>
    <w:p w14:paraId="408DBA82" w14:textId="77777777" w:rsidR="00824D3E" w:rsidRDefault="00824D3E" w:rsidP="00824D3E">
      <w:pPr>
        <w:pStyle w:val="ListParagraph"/>
        <w:rPr>
          <w:rFonts w:cstheme="minorHAnsi"/>
          <w:sz w:val="22"/>
          <w:szCs w:val="22"/>
        </w:rPr>
      </w:pPr>
    </w:p>
    <w:p w14:paraId="15F1CB8B" w14:textId="6ACF2E33" w:rsidR="00CD1A94" w:rsidRDefault="00CD1A94" w:rsidP="009310BD">
      <w:pPr>
        <w:pStyle w:val="ListParagraph"/>
        <w:numPr>
          <w:ilvl w:val="0"/>
          <w:numId w:val="17"/>
        </w:numPr>
        <w:rPr>
          <w:rFonts w:cstheme="minorHAnsi"/>
          <w:sz w:val="22"/>
          <w:szCs w:val="22"/>
        </w:rPr>
      </w:pPr>
      <w:r>
        <w:rPr>
          <w:rFonts w:cstheme="minorHAnsi"/>
          <w:sz w:val="22"/>
          <w:szCs w:val="22"/>
        </w:rPr>
        <w:t xml:space="preserve">There is currently no common, global understanding </w:t>
      </w:r>
      <w:r w:rsidR="009C721D">
        <w:rPr>
          <w:rFonts w:cstheme="minorHAnsi"/>
          <w:sz w:val="22"/>
          <w:szCs w:val="22"/>
        </w:rPr>
        <w:t xml:space="preserve">in the field of sustainability reporting </w:t>
      </w:r>
      <w:r>
        <w:rPr>
          <w:rFonts w:cstheme="minorHAnsi"/>
          <w:sz w:val="22"/>
          <w:szCs w:val="22"/>
        </w:rPr>
        <w:t xml:space="preserve">of how different ‘social’ </w:t>
      </w:r>
      <w:r w:rsidR="00AB63C5">
        <w:rPr>
          <w:rFonts w:cstheme="minorHAnsi"/>
          <w:sz w:val="22"/>
          <w:szCs w:val="22"/>
        </w:rPr>
        <w:t>issues</w:t>
      </w:r>
      <w:r>
        <w:rPr>
          <w:rFonts w:cstheme="minorHAnsi"/>
          <w:sz w:val="22"/>
          <w:szCs w:val="22"/>
        </w:rPr>
        <w:t xml:space="preserve"> inter-</w:t>
      </w:r>
      <w:r w:rsidR="005A7DBC">
        <w:rPr>
          <w:rFonts w:cstheme="minorHAnsi"/>
          <w:sz w:val="22"/>
          <w:szCs w:val="22"/>
        </w:rPr>
        <w:t>relate</w:t>
      </w:r>
      <w:r>
        <w:rPr>
          <w:rFonts w:cstheme="minorHAnsi"/>
          <w:sz w:val="22"/>
          <w:szCs w:val="22"/>
        </w:rPr>
        <w:t xml:space="preserve">. </w:t>
      </w:r>
      <w:r w:rsidR="009C721D">
        <w:rPr>
          <w:rFonts w:cstheme="minorHAnsi"/>
          <w:sz w:val="22"/>
          <w:szCs w:val="22"/>
        </w:rPr>
        <w:t xml:space="preserve">In addition to </w:t>
      </w:r>
      <w:r w:rsidR="00BD61CD">
        <w:rPr>
          <w:rFonts w:cstheme="minorHAnsi"/>
          <w:sz w:val="22"/>
          <w:szCs w:val="22"/>
        </w:rPr>
        <w:t xml:space="preserve">the </w:t>
      </w:r>
      <w:r>
        <w:rPr>
          <w:rFonts w:cstheme="minorHAnsi"/>
          <w:sz w:val="22"/>
          <w:szCs w:val="22"/>
        </w:rPr>
        <w:t xml:space="preserve">overlapping </w:t>
      </w:r>
      <w:r w:rsidR="009C721D">
        <w:rPr>
          <w:rFonts w:cstheme="minorHAnsi"/>
          <w:sz w:val="22"/>
          <w:szCs w:val="22"/>
        </w:rPr>
        <w:t>categories</w:t>
      </w:r>
      <w:r>
        <w:rPr>
          <w:rFonts w:cstheme="minorHAnsi"/>
          <w:sz w:val="22"/>
          <w:szCs w:val="22"/>
        </w:rPr>
        <w:t xml:space="preserve"> </w:t>
      </w:r>
      <w:r w:rsidR="00BD61CD">
        <w:rPr>
          <w:rFonts w:cstheme="minorHAnsi"/>
          <w:sz w:val="22"/>
          <w:szCs w:val="22"/>
        </w:rPr>
        <w:t>of</w:t>
      </w:r>
      <w:r>
        <w:rPr>
          <w:rFonts w:cstheme="minorHAnsi"/>
          <w:sz w:val="22"/>
          <w:szCs w:val="22"/>
        </w:rPr>
        <w:t xml:space="preserve"> human capital and human rights</w:t>
      </w:r>
      <w:r w:rsidR="009C721D">
        <w:rPr>
          <w:rFonts w:cstheme="minorHAnsi"/>
          <w:sz w:val="22"/>
          <w:szCs w:val="22"/>
        </w:rPr>
        <w:t>, lists of social topics often include</w:t>
      </w:r>
      <w:r>
        <w:rPr>
          <w:rFonts w:cstheme="minorHAnsi"/>
          <w:sz w:val="22"/>
          <w:szCs w:val="22"/>
        </w:rPr>
        <w:t xml:space="preserve"> individual human rights such as forced labor, child labor, health and safety and privacy</w:t>
      </w:r>
      <w:r w:rsidR="00401B9D">
        <w:rPr>
          <w:rFonts w:cstheme="minorHAnsi"/>
          <w:sz w:val="22"/>
          <w:szCs w:val="22"/>
        </w:rPr>
        <w:t>; business</w:t>
      </w:r>
      <w:r>
        <w:rPr>
          <w:rFonts w:cstheme="minorHAnsi"/>
          <w:sz w:val="22"/>
          <w:szCs w:val="22"/>
        </w:rPr>
        <w:t xml:space="preserve"> functions such as supply chain management</w:t>
      </w:r>
      <w:r w:rsidR="00B678E6">
        <w:rPr>
          <w:rFonts w:cstheme="minorHAnsi"/>
          <w:sz w:val="22"/>
          <w:szCs w:val="22"/>
        </w:rPr>
        <w:t xml:space="preserve"> or </w:t>
      </w:r>
      <w:proofErr w:type="spellStart"/>
      <w:r w:rsidR="00B678E6">
        <w:rPr>
          <w:rFonts w:cstheme="minorHAnsi"/>
          <w:sz w:val="22"/>
          <w:szCs w:val="22"/>
        </w:rPr>
        <w:t>labour</w:t>
      </w:r>
      <w:proofErr w:type="spellEnd"/>
      <w:r w:rsidR="00B678E6">
        <w:rPr>
          <w:rFonts w:cstheme="minorHAnsi"/>
          <w:sz w:val="22"/>
          <w:szCs w:val="22"/>
        </w:rPr>
        <w:t xml:space="preserve"> relation</w:t>
      </w:r>
      <w:r w:rsidR="00401B9D">
        <w:rPr>
          <w:rFonts w:cstheme="minorHAnsi"/>
          <w:sz w:val="22"/>
          <w:szCs w:val="22"/>
        </w:rPr>
        <w:t>s;</w:t>
      </w:r>
      <w:r>
        <w:rPr>
          <w:rFonts w:cstheme="minorHAnsi"/>
          <w:sz w:val="22"/>
          <w:szCs w:val="22"/>
        </w:rPr>
        <w:t xml:space="preserve"> and categories of affected stakeholder such as indigenous peoples.</w:t>
      </w:r>
      <w:r w:rsidR="009310BD">
        <w:rPr>
          <w:rStyle w:val="EndnoteReference"/>
          <w:rFonts w:cstheme="minorHAnsi"/>
          <w:sz w:val="22"/>
          <w:szCs w:val="22"/>
        </w:rPr>
        <w:endnoteReference w:id="1"/>
      </w:r>
      <w:r>
        <w:rPr>
          <w:rFonts w:cstheme="minorHAnsi"/>
          <w:sz w:val="22"/>
          <w:szCs w:val="22"/>
        </w:rPr>
        <w:t xml:space="preserve">  </w:t>
      </w:r>
    </w:p>
    <w:p w14:paraId="781A5402" w14:textId="77777777" w:rsidR="00CD1A94" w:rsidRDefault="00CD1A94" w:rsidP="00CD1A94">
      <w:pPr>
        <w:pStyle w:val="ListParagraph"/>
        <w:ind w:left="0"/>
        <w:rPr>
          <w:rFonts w:cstheme="minorHAnsi"/>
          <w:sz w:val="22"/>
          <w:szCs w:val="22"/>
        </w:rPr>
      </w:pPr>
    </w:p>
    <w:p w14:paraId="2515B9A1" w14:textId="10B27A70" w:rsidR="00CD1A94" w:rsidRDefault="009C721D" w:rsidP="009310BD">
      <w:pPr>
        <w:pStyle w:val="ListParagraph"/>
        <w:numPr>
          <w:ilvl w:val="0"/>
          <w:numId w:val="17"/>
        </w:numPr>
        <w:rPr>
          <w:rFonts w:cstheme="minorHAnsi"/>
          <w:sz w:val="22"/>
          <w:szCs w:val="22"/>
        </w:rPr>
      </w:pPr>
      <w:r>
        <w:rPr>
          <w:rFonts w:cstheme="minorHAnsi"/>
          <w:sz w:val="22"/>
          <w:szCs w:val="22"/>
        </w:rPr>
        <w:t>Without</w:t>
      </w:r>
      <w:r w:rsidR="00CD1A94">
        <w:rPr>
          <w:rFonts w:cstheme="minorHAnsi"/>
          <w:sz w:val="22"/>
          <w:szCs w:val="22"/>
        </w:rPr>
        <w:t xml:space="preserve"> a clear and consistent </w:t>
      </w:r>
      <w:r w:rsidR="00BD61CD">
        <w:rPr>
          <w:rFonts w:cstheme="minorHAnsi"/>
          <w:sz w:val="22"/>
          <w:szCs w:val="22"/>
        </w:rPr>
        <w:t>architecture</w:t>
      </w:r>
      <w:r w:rsidR="00CD1A94">
        <w:rPr>
          <w:rFonts w:cstheme="minorHAnsi"/>
          <w:sz w:val="22"/>
          <w:szCs w:val="22"/>
        </w:rPr>
        <w:t xml:space="preserve"> </w:t>
      </w:r>
      <w:r w:rsidR="00BD61CD">
        <w:rPr>
          <w:rFonts w:cstheme="minorHAnsi"/>
          <w:sz w:val="22"/>
          <w:szCs w:val="22"/>
        </w:rPr>
        <w:t>that enables an understanding of how</w:t>
      </w:r>
      <w:r w:rsidR="00CD1A94">
        <w:rPr>
          <w:rFonts w:cstheme="minorHAnsi"/>
          <w:sz w:val="22"/>
          <w:szCs w:val="22"/>
        </w:rPr>
        <w:t xml:space="preserve"> </w:t>
      </w:r>
      <w:r w:rsidR="00BD61CD">
        <w:rPr>
          <w:rFonts w:cstheme="minorHAnsi"/>
          <w:sz w:val="22"/>
          <w:szCs w:val="22"/>
        </w:rPr>
        <w:t>different social</w:t>
      </w:r>
      <w:r w:rsidR="00CD1A94">
        <w:rPr>
          <w:rFonts w:cstheme="minorHAnsi"/>
          <w:sz w:val="22"/>
          <w:szCs w:val="22"/>
        </w:rPr>
        <w:t xml:space="preserve"> </w:t>
      </w:r>
      <w:r w:rsidR="00BD61CD">
        <w:rPr>
          <w:rFonts w:cstheme="minorHAnsi"/>
          <w:sz w:val="22"/>
          <w:szCs w:val="22"/>
        </w:rPr>
        <w:t xml:space="preserve">issues relate to each other and </w:t>
      </w:r>
      <w:r>
        <w:rPr>
          <w:rFonts w:cstheme="minorHAnsi"/>
          <w:sz w:val="22"/>
          <w:szCs w:val="22"/>
        </w:rPr>
        <w:t xml:space="preserve">to different companies’ operations and value chains, </w:t>
      </w:r>
      <w:r w:rsidR="00CD1A94">
        <w:rPr>
          <w:rFonts w:cstheme="minorHAnsi"/>
          <w:sz w:val="22"/>
          <w:szCs w:val="22"/>
        </w:rPr>
        <w:t xml:space="preserve">it is harder for companies </w:t>
      </w:r>
      <w:r w:rsidR="00CD1A94">
        <w:rPr>
          <w:rFonts w:cstheme="minorHAnsi"/>
          <w:sz w:val="22"/>
          <w:szCs w:val="22"/>
        </w:rPr>
        <w:lastRenderedPageBreak/>
        <w:t>to anticipate and manage these risks and for providers of capital to integrate them in</w:t>
      </w:r>
      <w:r w:rsidR="000B51E8">
        <w:rPr>
          <w:rFonts w:cstheme="minorHAnsi"/>
          <w:sz w:val="22"/>
          <w:szCs w:val="22"/>
        </w:rPr>
        <w:t>to</w:t>
      </w:r>
      <w:r w:rsidR="00CD1A94">
        <w:rPr>
          <w:rFonts w:cstheme="minorHAnsi"/>
          <w:sz w:val="22"/>
          <w:szCs w:val="22"/>
        </w:rPr>
        <w:t xml:space="preserve"> their decision-making and engagement activities. </w:t>
      </w:r>
    </w:p>
    <w:p w14:paraId="18732F7F" w14:textId="77777777" w:rsidR="00CD1A94" w:rsidRDefault="00CD1A94" w:rsidP="00824D3E">
      <w:pPr>
        <w:pStyle w:val="ListParagraph"/>
        <w:ind w:left="0"/>
        <w:rPr>
          <w:rFonts w:cstheme="minorHAnsi"/>
          <w:sz w:val="22"/>
          <w:szCs w:val="22"/>
        </w:rPr>
      </w:pPr>
    </w:p>
    <w:p w14:paraId="44281314" w14:textId="74F1D54C" w:rsidR="00824D3E" w:rsidRDefault="00824D3E" w:rsidP="009310BD">
      <w:pPr>
        <w:pStyle w:val="ListParagraph"/>
        <w:numPr>
          <w:ilvl w:val="0"/>
          <w:numId w:val="17"/>
        </w:numPr>
        <w:rPr>
          <w:rFonts w:cstheme="minorHAnsi"/>
          <w:sz w:val="22"/>
          <w:szCs w:val="22"/>
        </w:rPr>
      </w:pPr>
      <w:r>
        <w:rPr>
          <w:rFonts w:cstheme="minorHAnsi"/>
          <w:sz w:val="22"/>
          <w:szCs w:val="22"/>
        </w:rPr>
        <w:t>T</w:t>
      </w:r>
      <w:r w:rsidRPr="00237D2A">
        <w:rPr>
          <w:rFonts w:cstheme="minorHAnsi"/>
          <w:sz w:val="22"/>
          <w:szCs w:val="22"/>
        </w:rPr>
        <w:t xml:space="preserve">he </w:t>
      </w:r>
      <w:r w:rsidR="00AB63C5">
        <w:rPr>
          <w:rFonts w:cstheme="minorHAnsi"/>
          <w:sz w:val="22"/>
          <w:szCs w:val="22"/>
        </w:rPr>
        <w:t xml:space="preserve">current </w:t>
      </w:r>
      <w:r w:rsidR="00B678E6">
        <w:rPr>
          <w:rFonts w:cstheme="minorHAnsi"/>
          <w:sz w:val="22"/>
          <w:szCs w:val="22"/>
        </w:rPr>
        <w:t>ISSB p</w:t>
      </w:r>
      <w:r w:rsidRPr="00237D2A">
        <w:rPr>
          <w:rFonts w:cstheme="minorHAnsi"/>
          <w:sz w:val="22"/>
          <w:szCs w:val="22"/>
        </w:rPr>
        <w:t xml:space="preserve">roposal to work either separately or in parallel on ‘human capital’ and ‘human rights’ </w:t>
      </w:r>
      <w:r>
        <w:rPr>
          <w:rFonts w:cstheme="minorHAnsi"/>
          <w:sz w:val="22"/>
          <w:szCs w:val="22"/>
        </w:rPr>
        <w:t xml:space="preserve">standards </w:t>
      </w:r>
      <w:r w:rsidR="00B678E6">
        <w:rPr>
          <w:rFonts w:cstheme="minorHAnsi"/>
          <w:sz w:val="22"/>
          <w:szCs w:val="22"/>
        </w:rPr>
        <w:t xml:space="preserve">would </w:t>
      </w:r>
      <w:r>
        <w:rPr>
          <w:rFonts w:cstheme="minorHAnsi"/>
          <w:sz w:val="22"/>
          <w:szCs w:val="22"/>
        </w:rPr>
        <w:t>perpetuate</w:t>
      </w:r>
      <w:r w:rsidR="009C721D">
        <w:rPr>
          <w:rFonts w:cstheme="minorHAnsi"/>
          <w:sz w:val="22"/>
          <w:szCs w:val="22"/>
        </w:rPr>
        <w:t xml:space="preserve"> and compound</w:t>
      </w:r>
      <w:r w:rsidRPr="00237D2A">
        <w:rPr>
          <w:rFonts w:cstheme="minorHAnsi"/>
          <w:sz w:val="22"/>
          <w:szCs w:val="22"/>
        </w:rPr>
        <w:t xml:space="preserve"> </w:t>
      </w:r>
      <w:r w:rsidR="00B678E6">
        <w:rPr>
          <w:rFonts w:cstheme="minorHAnsi"/>
          <w:sz w:val="22"/>
          <w:szCs w:val="22"/>
        </w:rPr>
        <w:t>th</w:t>
      </w:r>
      <w:r w:rsidR="009C721D">
        <w:rPr>
          <w:rFonts w:cstheme="minorHAnsi"/>
          <w:sz w:val="22"/>
          <w:szCs w:val="22"/>
        </w:rPr>
        <w:t>is</w:t>
      </w:r>
      <w:r w:rsidR="00B678E6">
        <w:rPr>
          <w:rFonts w:cstheme="minorHAnsi"/>
          <w:sz w:val="22"/>
          <w:szCs w:val="22"/>
        </w:rPr>
        <w:t xml:space="preserve"> current</w:t>
      </w:r>
      <w:r w:rsidR="009C721D">
        <w:rPr>
          <w:rFonts w:cstheme="minorHAnsi"/>
          <w:sz w:val="22"/>
          <w:szCs w:val="22"/>
        </w:rPr>
        <w:t>ly</w:t>
      </w:r>
      <w:r w:rsidR="00B678E6">
        <w:rPr>
          <w:rFonts w:cstheme="minorHAnsi"/>
          <w:sz w:val="22"/>
          <w:szCs w:val="22"/>
        </w:rPr>
        <w:t xml:space="preserve"> confused landscape regarding social issues. </w:t>
      </w:r>
    </w:p>
    <w:p w14:paraId="154BC34E" w14:textId="2D1E0D26" w:rsidR="00824D3E" w:rsidRDefault="00824D3E" w:rsidP="00B84756">
      <w:pPr>
        <w:rPr>
          <w:rFonts w:cstheme="minorHAnsi"/>
          <w:sz w:val="22"/>
          <w:szCs w:val="22"/>
        </w:rPr>
      </w:pPr>
    </w:p>
    <w:p w14:paraId="5A172C85" w14:textId="233EF9A8" w:rsidR="00401B9D" w:rsidRPr="009310BD" w:rsidRDefault="00401B9D" w:rsidP="009310BD">
      <w:pPr>
        <w:pStyle w:val="ListParagraph"/>
        <w:numPr>
          <w:ilvl w:val="0"/>
          <w:numId w:val="16"/>
        </w:numPr>
        <w:rPr>
          <w:rFonts w:cstheme="minorHAnsi"/>
          <w:b/>
          <w:sz w:val="22"/>
          <w:szCs w:val="22"/>
        </w:rPr>
      </w:pPr>
      <w:r w:rsidRPr="009310BD">
        <w:rPr>
          <w:rFonts w:cstheme="minorHAnsi"/>
          <w:b/>
          <w:sz w:val="22"/>
          <w:szCs w:val="22"/>
        </w:rPr>
        <w:t xml:space="preserve">Providers of capital need </w:t>
      </w:r>
      <w:r w:rsidR="00053937" w:rsidRPr="009310BD">
        <w:rPr>
          <w:rFonts w:cstheme="minorHAnsi"/>
          <w:b/>
          <w:sz w:val="22"/>
          <w:szCs w:val="22"/>
        </w:rPr>
        <w:t>to know</w:t>
      </w:r>
      <w:r w:rsidRPr="009310BD">
        <w:rPr>
          <w:rFonts w:cstheme="minorHAnsi"/>
          <w:b/>
          <w:sz w:val="22"/>
          <w:szCs w:val="22"/>
        </w:rPr>
        <w:t xml:space="preserve"> how </w:t>
      </w:r>
      <w:r w:rsidR="00053937" w:rsidRPr="009310BD">
        <w:rPr>
          <w:rFonts w:cstheme="minorHAnsi"/>
          <w:b/>
          <w:sz w:val="22"/>
          <w:szCs w:val="22"/>
        </w:rPr>
        <w:t xml:space="preserve">well </w:t>
      </w:r>
      <w:r w:rsidRPr="009310BD">
        <w:rPr>
          <w:rFonts w:cstheme="minorHAnsi"/>
          <w:b/>
          <w:sz w:val="22"/>
          <w:szCs w:val="22"/>
        </w:rPr>
        <w:t xml:space="preserve">entities they finance </w:t>
      </w:r>
      <w:r w:rsidR="00053937" w:rsidRPr="009310BD">
        <w:rPr>
          <w:rFonts w:cstheme="minorHAnsi"/>
          <w:b/>
          <w:sz w:val="22"/>
          <w:szCs w:val="22"/>
        </w:rPr>
        <w:t>understand</w:t>
      </w:r>
      <w:r w:rsidRPr="009310BD">
        <w:rPr>
          <w:rFonts w:cstheme="minorHAnsi"/>
          <w:b/>
          <w:sz w:val="22"/>
          <w:szCs w:val="22"/>
        </w:rPr>
        <w:t xml:space="preserve"> social-related risks and opportunities</w:t>
      </w:r>
      <w:r w:rsidR="00014AD4" w:rsidRPr="009310BD">
        <w:rPr>
          <w:rFonts w:cstheme="minorHAnsi"/>
          <w:b/>
          <w:sz w:val="22"/>
          <w:szCs w:val="22"/>
        </w:rPr>
        <w:t xml:space="preserve"> in general</w:t>
      </w:r>
      <w:r w:rsidR="002E49F7">
        <w:rPr>
          <w:rFonts w:cstheme="minorHAnsi"/>
          <w:b/>
          <w:sz w:val="22"/>
          <w:szCs w:val="22"/>
        </w:rPr>
        <w:t xml:space="preserve"> and</w:t>
      </w:r>
      <w:r w:rsidR="000975D5" w:rsidRPr="009310BD">
        <w:rPr>
          <w:rFonts w:cstheme="minorHAnsi"/>
          <w:b/>
          <w:sz w:val="22"/>
          <w:szCs w:val="22"/>
        </w:rPr>
        <w:t xml:space="preserve"> the</w:t>
      </w:r>
      <w:r w:rsidRPr="009310BD">
        <w:rPr>
          <w:rFonts w:cstheme="minorHAnsi"/>
          <w:b/>
          <w:sz w:val="22"/>
          <w:szCs w:val="22"/>
        </w:rPr>
        <w:t xml:space="preserve"> extent</w:t>
      </w:r>
      <w:r w:rsidR="000975D5" w:rsidRPr="009310BD">
        <w:rPr>
          <w:rFonts w:cstheme="minorHAnsi"/>
          <w:b/>
          <w:sz w:val="22"/>
          <w:szCs w:val="22"/>
        </w:rPr>
        <w:t xml:space="preserve"> to which</w:t>
      </w:r>
      <w:r w:rsidRPr="009310BD">
        <w:rPr>
          <w:rFonts w:cstheme="minorHAnsi"/>
          <w:b/>
          <w:sz w:val="22"/>
          <w:szCs w:val="22"/>
        </w:rPr>
        <w:t xml:space="preserve"> </w:t>
      </w:r>
      <w:r w:rsidR="002E49F7">
        <w:rPr>
          <w:rFonts w:cstheme="minorHAnsi"/>
          <w:b/>
          <w:sz w:val="22"/>
          <w:szCs w:val="22"/>
        </w:rPr>
        <w:t>they</w:t>
      </w:r>
      <w:r w:rsidRPr="009310BD">
        <w:rPr>
          <w:rFonts w:cstheme="minorHAnsi"/>
          <w:b/>
          <w:sz w:val="22"/>
          <w:szCs w:val="22"/>
        </w:rPr>
        <w:t xml:space="preserve"> are equipped to identify and manage these issues effectively.  </w:t>
      </w:r>
      <w:r w:rsidR="002E49F7">
        <w:rPr>
          <w:rFonts w:cstheme="minorHAnsi"/>
          <w:b/>
          <w:sz w:val="22"/>
          <w:szCs w:val="22"/>
        </w:rPr>
        <w:t>ISSB’s proposed approach would not meet this need.</w:t>
      </w:r>
      <w:r w:rsidRPr="009310BD">
        <w:rPr>
          <w:rFonts w:cstheme="minorHAnsi"/>
          <w:b/>
          <w:sz w:val="22"/>
          <w:szCs w:val="22"/>
        </w:rPr>
        <w:t xml:space="preserve"> </w:t>
      </w:r>
    </w:p>
    <w:p w14:paraId="4613C41E" w14:textId="77777777" w:rsidR="00401B9D" w:rsidRDefault="00401B9D" w:rsidP="00401B9D">
      <w:pPr>
        <w:rPr>
          <w:rFonts w:cstheme="minorHAnsi"/>
          <w:sz w:val="22"/>
          <w:szCs w:val="22"/>
        </w:rPr>
      </w:pPr>
    </w:p>
    <w:p w14:paraId="7F57944D" w14:textId="3AEF2C42" w:rsidR="00401B9D" w:rsidRPr="009310BD" w:rsidRDefault="00401B9D" w:rsidP="009310BD">
      <w:pPr>
        <w:pStyle w:val="ListParagraph"/>
        <w:numPr>
          <w:ilvl w:val="0"/>
          <w:numId w:val="18"/>
        </w:numPr>
        <w:rPr>
          <w:rFonts w:cstheme="minorHAnsi"/>
          <w:sz w:val="22"/>
          <w:szCs w:val="22"/>
        </w:rPr>
      </w:pPr>
      <w:r w:rsidRPr="009310BD">
        <w:rPr>
          <w:rFonts w:cstheme="minorHAnsi"/>
          <w:sz w:val="22"/>
          <w:szCs w:val="22"/>
        </w:rPr>
        <w:t xml:space="preserve">The ISSB’s General Requirements standard is too </w:t>
      </w:r>
      <w:r w:rsidR="000B51E8">
        <w:rPr>
          <w:rFonts w:cstheme="minorHAnsi"/>
          <w:sz w:val="22"/>
          <w:szCs w:val="22"/>
        </w:rPr>
        <w:t>broad and high-level</w:t>
      </w:r>
      <w:r w:rsidRPr="009310BD">
        <w:rPr>
          <w:rFonts w:cstheme="minorHAnsi"/>
          <w:sz w:val="22"/>
          <w:szCs w:val="22"/>
        </w:rPr>
        <w:t xml:space="preserve"> to provide the necessary contextual information on how entities’ governance, strategy, risk management, and metrics and targets </w:t>
      </w:r>
      <w:r w:rsidR="00BD61CD">
        <w:rPr>
          <w:rFonts w:cstheme="minorHAnsi"/>
          <w:sz w:val="22"/>
          <w:szCs w:val="22"/>
        </w:rPr>
        <w:t>are designed and intended to address</w:t>
      </w:r>
      <w:r w:rsidRPr="009310BD">
        <w:rPr>
          <w:rFonts w:cstheme="minorHAnsi"/>
          <w:sz w:val="22"/>
          <w:szCs w:val="22"/>
        </w:rPr>
        <w:t xml:space="preserve"> social-related risks and opportunities in particular. </w:t>
      </w:r>
    </w:p>
    <w:p w14:paraId="5DE15345" w14:textId="77777777" w:rsidR="00401B9D" w:rsidRDefault="00401B9D" w:rsidP="00401B9D">
      <w:pPr>
        <w:rPr>
          <w:rFonts w:cstheme="minorHAnsi"/>
          <w:sz w:val="22"/>
          <w:szCs w:val="22"/>
        </w:rPr>
      </w:pPr>
    </w:p>
    <w:p w14:paraId="28445D4D" w14:textId="52C952EE" w:rsidR="00401B9D" w:rsidRPr="009310BD" w:rsidRDefault="00401B9D" w:rsidP="009310BD">
      <w:pPr>
        <w:pStyle w:val="ListParagraph"/>
        <w:numPr>
          <w:ilvl w:val="0"/>
          <w:numId w:val="18"/>
        </w:numPr>
        <w:rPr>
          <w:rFonts w:cstheme="minorHAnsi"/>
          <w:sz w:val="22"/>
          <w:szCs w:val="22"/>
        </w:rPr>
      </w:pPr>
      <w:r w:rsidRPr="009310BD">
        <w:rPr>
          <w:rFonts w:cstheme="minorHAnsi"/>
          <w:sz w:val="22"/>
          <w:szCs w:val="22"/>
        </w:rPr>
        <w:t>As in the case of climate, a thematic standard is needed that would</w:t>
      </w:r>
      <w:r w:rsidR="00014AD4" w:rsidRPr="009310BD">
        <w:rPr>
          <w:rFonts w:cstheme="minorHAnsi"/>
          <w:sz w:val="22"/>
          <w:szCs w:val="22"/>
        </w:rPr>
        <w:t xml:space="preserve"> set</w:t>
      </w:r>
      <w:r w:rsidRPr="009310BD">
        <w:rPr>
          <w:rFonts w:cstheme="minorHAnsi"/>
          <w:sz w:val="22"/>
          <w:szCs w:val="22"/>
        </w:rPr>
        <w:t xml:space="preserve"> the</w:t>
      </w:r>
      <w:r w:rsidR="00014AD4" w:rsidRPr="009310BD">
        <w:rPr>
          <w:rFonts w:cstheme="minorHAnsi"/>
          <w:sz w:val="22"/>
          <w:szCs w:val="22"/>
        </w:rPr>
        <w:t xml:space="preserve"> right</w:t>
      </w:r>
      <w:r w:rsidRPr="009310BD">
        <w:rPr>
          <w:rFonts w:cstheme="minorHAnsi"/>
          <w:sz w:val="22"/>
          <w:szCs w:val="22"/>
        </w:rPr>
        <w:t xml:space="preserve"> foundation</w:t>
      </w:r>
      <w:r w:rsidR="00FA67BC">
        <w:rPr>
          <w:rFonts w:cstheme="minorHAnsi"/>
          <w:sz w:val="22"/>
          <w:szCs w:val="22"/>
        </w:rPr>
        <w:t xml:space="preserve"> for</w:t>
      </w:r>
      <w:r w:rsidR="009C721D">
        <w:rPr>
          <w:rFonts w:cstheme="minorHAnsi"/>
          <w:sz w:val="22"/>
          <w:szCs w:val="22"/>
        </w:rPr>
        <w:t xml:space="preserve"> material </w:t>
      </w:r>
      <w:r w:rsidR="00014AD4" w:rsidRPr="009310BD">
        <w:rPr>
          <w:rFonts w:cstheme="minorHAnsi"/>
          <w:sz w:val="22"/>
          <w:szCs w:val="22"/>
        </w:rPr>
        <w:t>social</w:t>
      </w:r>
      <w:r w:rsidR="00394C91">
        <w:rPr>
          <w:rFonts w:cstheme="minorHAnsi"/>
          <w:sz w:val="22"/>
          <w:szCs w:val="22"/>
        </w:rPr>
        <w:t>-related</w:t>
      </w:r>
      <w:r w:rsidR="00014AD4" w:rsidRPr="009310BD">
        <w:rPr>
          <w:rFonts w:cstheme="minorHAnsi"/>
          <w:sz w:val="22"/>
          <w:szCs w:val="22"/>
        </w:rPr>
        <w:t xml:space="preserve"> </w:t>
      </w:r>
      <w:r w:rsidRPr="009310BD">
        <w:rPr>
          <w:rFonts w:cstheme="minorHAnsi"/>
          <w:sz w:val="22"/>
          <w:szCs w:val="22"/>
        </w:rPr>
        <w:t xml:space="preserve">disclosures </w:t>
      </w:r>
      <w:r w:rsidR="009C721D">
        <w:rPr>
          <w:rFonts w:cstheme="minorHAnsi"/>
          <w:sz w:val="22"/>
          <w:szCs w:val="22"/>
        </w:rPr>
        <w:t xml:space="preserve">that </w:t>
      </w:r>
      <w:r w:rsidRPr="009310BD">
        <w:rPr>
          <w:rFonts w:cstheme="minorHAnsi"/>
          <w:sz w:val="22"/>
          <w:szCs w:val="22"/>
        </w:rPr>
        <w:t xml:space="preserve">are </w:t>
      </w:r>
      <w:r w:rsidR="00BD61CD">
        <w:rPr>
          <w:rFonts w:cstheme="minorHAnsi"/>
          <w:sz w:val="22"/>
          <w:szCs w:val="22"/>
        </w:rPr>
        <w:t xml:space="preserve">both </w:t>
      </w:r>
      <w:r w:rsidRPr="009310BD">
        <w:rPr>
          <w:rFonts w:cstheme="minorHAnsi"/>
          <w:sz w:val="22"/>
          <w:szCs w:val="22"/>
        </w:rPr>
        <w:t xml:space="preserve">common to all companies and essential for providers of capital to have the insight </w:t>
      </w:r>
      <w:r w:rsidR="000B51E8">
        <w:rPr>
          <w:rFonts w:cstheme="minorHAnsi"/>
          <w:sz w:val="22"/>
          <w:szCs w:val="22"/>
        </w:rPr>
        <w:t>they need</w:t>
      </w:r>
      <w:r w:rsidRPr="009310BD">
        <w:rPr>
          <w:rFonts w:cstheme="minorHAnsi"/>
          <w:sz w:val="22"/>
          <w:szCs w:val="22"/>
        </w:rPr>
        <w:t xml:space="preserve"> to assess companies on a level playing field. </w:t>
      </w:r>
    </w:p>
    <w:p w14:paraId="61BC27A4" w14:textId="77777777" w:rsidR="00401B9D" w:rsidRDefault="00401B9D" w:rsidP="00401B9D">
      <w:pPr>
        <w:rPr>
          <w:rFonts w:cstheme="minorHAnsi"/>
          <w:sz w:val="22"/>
          <w:szCs w:val="22"/>
        </w:rPr>
      </w:pPr>
    </w:p>
    <w:p w14:paraId="74EB4551" w14:textId="107F4337" w:rsidR="00401B9D" w:rsidRPr="009310BD" w:rsidRDefault="00401B9D" w:rsidP="009310BD">
      <w:pPr>
        <w:pStyle w:val="ListParagraph"/>
        <w:numPr>
          <w:ilvl w:val="0"/>
          <w:numId w:val="18"/>
        </w:numPr>
        <w:rPr>
          <w:rFonts w:cstheme="minorHAnsi"/>
          <w:sz w:val="22"/>
          <w:szCs w:val="22"/>
        </w:rPr>
      </w:pPr>
      <w:r w:rsidRPr="009310BD">
        <w:rPr>
          <w:rFonts w:cstheme="minorHAnsi"/>
          <w:sz w:val="22"/>
          <w:szCs w:val="22"/>
        </w:rPr>
        <w:t xml:space="preserve">Topic-specific and </w:t>
      </w:r>
      <w:r w:rsidR="00AB63C5">
        <w:rPr>
          <w:rFonts w:cstheme="minorHAnsi"/>
          <w:sz w:val="22"/>
          <w:szCs w:val="22"/>
        </w:rPr>
        <w:t>industry</w:t>
      </w:r>
      <w:r w:rsidRPr="009310BD">
        <w:rPr>
          <w:rFonts w:cstheme="minorHAnsi"/>
          <w:sz w:val="22"/>
          <w:szCs w:val="22"/>
        </w:rPr>
        <w:t xml:space="preserve">-specific disclosures will be incomplete without </w:t>
      </w:r>
      <w:r w:rsidR="000975D5" w:rsidRPr="009310BD">
        <w:rPr>
          <w:rFonts w:cstheme="minorHAnsi"/>
          <w:sz w:val="22"/>
          <w:szCs w:val="22"/>
        </w:rPr>
        <w:t xml:space="preserve">this </w:t>
      </w:r>
      <w:r w:rsidR="00FA67BC">
        <w:rPr>
          <w:rFonts w:cstheme="minorHAnsi"/>
          <w:sz w:val="22"/>
          <w:szCs w:val="22"/>
        </w:rPr>
        <w:t>general</w:t>
      </w:r>
      <w:r w:rsidR="000975D5" w:rsidRPr="009310BD">
        <w:rPr>
          <w:rFonts w:cstheme="minorHAnsi"/>
          <w:sz w:val="22"/>
          <w:szCs w:val="22"/>
        </w:rPr>
        <w:t xml:space="preserve"> foundation</w:t>
      </w:r>
      <w:r w:rsidR="009C721D">
        <w:rPr>
          <w:rFonts w:cstheme="minorHAnsi"/>
          <w:sz w:val="22"/>
          <w:szCs w:val="22"/>
        </w:rPr>
        <w:t>. It sets the essential context for any</w:t>
      </w:r>
      <w:r w:rsidR="00AB63C5">
        <w:rPr>
          <w:rFonts w:cstheme="minorHAnsi"/>
          <w:sz w:val="22"/>
          <w:szCs w:val="22"/>
        </w:rPr>
        <w:t xml:space="preserve"> </w:t>
      </w:r>
      <w:r w:rsidRPr="009310BD">
        <w:rPr>
          <w:rFonts w:cstheme="minorHAnsi"/>
          <w:sz w:val="22"/>
          <w:szCs w:val="22"/>
        </w:rPr>
        <w:t xml:space="preserve">understanding of </w:t>
      </w:r>
      <w:r w:rsidR="000975D5" w:rsidRPr="009310BD">
        <w:rPr>
          <w:rFonts w:cstheme="minorHAnsi"/>
          <w:sz w:val="22"/>
          <w:szCs w:val="22"/>
        </w:rPr>
        <w:t xml:space="preserve">specific </w:t>
      </w:r>
      <w:r w:rsidRPr="009310BD">
        <w:rPr>
          <w:rFonts w:cstheme="minorHAnsi"/>
          <w:sz w:val="22"/>
          <w:szCs w:val="22"/>
        </w:rPr>
        <w:t xml:space="preserve">social </w:t>
      </w:r>
      <w:r w:rsidR="00AB63C5">
        <w:rPr>
          <w:rFonts w:cstheme="minorHAnsi"/>
          <w:sz w:val="22"/>
          <w:szCs w:val="22"/>
        </w:rPr>
        <w:t>risks and opportunities</w:t>
      </w:r>
      <w:r w:rsidRPr="009310BD">
        <w:rPr>
          <w:rFonts w:cstheme="minorHAnsi"/>
          <w:sz w:val="22"/>
          <w:szCs w:val="22"/>
        </w:rPr>
        <w:t xml:space="preserve"> ranging from health and safety, diversity and inclusion, and labor rights to privacy, community-related risks and product safety, among others.</w:t>
      </w:r>
    </w:p>
    <w:p w14:paraId="24CFFC84" w14:textId="77777777" w:rsidR="00401B9D" w:rsidRDefault="00401B9D" w:rsidP="00B84756">
      <w:pPr>
        <w:rPr>
          <w:rFonts w:cstheme="minorHAnsi"/>
          <w:sz w:val="22"/>
          <w:szCs w:val="22"/>
        </w:rPr>
      </w:pPr>
    </w:p>
    <w:p w14:paraId="13A7D27D" w14:textId="18D1045B" w:rsidR="00824D3E" w:rsidRDefault="004417F4" w:rsidP="009310BD">
      <w:pPr>
        <w:pStyle w:val="ListParagraph"/>
        <w:numPr>
          <w:ilvl w:val="0"/>
          <w:numId w:val="16"/>
        </w:numPr>
        <w:rPr>
          <w:rFonts w:cstheme="minorHAnsi"/>
          <w:b/>
          <w:sz w:val="22"/>
          <w:szCs w:val="22"/>
        </w:rPr>
      </w:pPr>
      <w:r>
        <w:rPr>
          <w:rFonts w:cstheme="minorHAnsi"/>
          <w:b/>
          <w:sz w:val="22"/>
          <w:szCs w:val="22"/>
        </w:rPr>
        <w:t>T</w:t>
      </w:r>
      <w:r w:rsidR="00824D3E" w:rsidRPr="00A55A4B">
        <w:rPr>
          <w:rFonts w:cstheme="minorHAnsi"/>
          <w:b/>
          <w:sz w:val="22"/>
          <w:szCs w:val="22"/>
        </w:rPr>
        <w:t>he ISSB</w:t>
      </w:r>
      <w:r w:rsidR="00014AD4">
        <w:rPr>
          <w:rFonts w:cstheme="minorHAnsi"/>
          <w:b/>
          <w:sz w:val="22"/>
          <w:szCs w:val="22"/>
        </w:rPr>
        <w:t>’</w:t>
      </w:r>
      <w:r w:rsidR="000975D5">
        <w:rPr>
          <w:rFonts w:cstheme="minorHAnsi"/>
          <w:b/>
          <w:sz w:val="22"/>
          <w:szCs w:val="22"/>
        </w:rPr>
        <w:t>s</w:t>
      </w:r>
      <w:r w:rsidR="00014AD4">
        <w:rPr>
          <w:rFonts w:cstheme="minorHAnsi"/>
          <w:b/>
          <w:sz w:val="22"/>
          <w:szCs w:val="22"/>
        </w:rPr>
        <w:t xml:space="preserve"> paper </w:t>
      </w:r>
      <w:r w:rsidR="00824D3E" w:rsidRPr="00A55A4B">
        <w:rPr>
          <w:rFonts w:cstheme="minorHAnsi"/>
          <w:b/>
          <w:sz w:val="22"/>
          <w:szCs w:val="22"/>
        </w:rPr>
        <w:t>recognize</w:t>
      </w:r>
      <w:r w:rsidR="00014AD4">
        <w:rPr>
          <w:rFonts w:cstheme="minorHAnsi"/>
          <w:b/>
          <w:sz w:val="22"/>
          <w:szCs w:val="22"/>
        </w:rPr>
        <w:t>s</w:t>
      </w:r>
      <w:r w:rsidR="00824D3E" w:rsidRPr="00A55A4B">
        <w:rPr>
          <w:rFonts w:cstheme="minorHAnsi"/>
          <w:b/>
          <w:sz w:val="22"/>
          <w:szCs w:val="22"/>
        </w:rPr>
        <w:t xml:space="preserve"> that </w:t>
      </w:r>
      <w:r w:rsidR="009C721D">
        <w:rPr>
          <w:rFonts w:cstheme="minorHAnsi"/>
          <w:b/>
          <w:sz w:val="22"/>
          <w:szCs w:val="22"/>
        </w:rPr>
        <w:t xml:space="preserve">human capital and </w:t>
      </w:r>
      <w:r w:rsidR="00824D3E" w:rsidRPr="00A55A4B">
        <w:rPr>
          <w:rFonts w:cstheme="minorHAnsi"/>
          <w:b/>
          <w:sz w:val="22"/>
          <w:szCs w:val="22"/>
        </w:rPr>
        <w:t xml:space="preserve">human rights </w:t>
      </w:r>
      <w:r w:rsidR="009C721D">
        <w:rPr>
          <w:rFonts w:cstheme="minorHAnsi"/>
          <w:b/>
          <w:sz w:val="22"/>
          <w:szCs w:val="22"/>
        </w:rPr>
        <w:t xml:space="preserve">overlap, and that human rights </w:t>
      </w:r>
      <w:r w:rsidR="00824D3E" w:rsidRPr="00A55A4B">
        <w:rPr>
          <w:rFonts w:cstheme="minorHAnsi"/>
          <w:b/>
          <w:sz w:val="22"/>
          <w:szCs w:val="22"/>
        </w:rPr>
        <w:t>are not solely relevant in value chain contexts</w:t>
      </w:r>
      <w:r>
        <w:rPr>
          <w:rFonts w:cstheme="minorHAnsi"/>
          <w:b/>
          <w:sz w:val="22"/>
          <w:szCs w:val="22"/>
        </w:rPr>
        <w:t>. However,</w:t>
      </w:r>
      <w:r w:rsidR="00824D3E" w:rsidRPr="00A55A4B">
        <w:rPr>
          <w:rFonts w:cstheme="minorHAnsi"/>
          <w:b/>
          <w:sz w:val="22"/>
          <w:szCs w:val="22"/>
        </w:rPr>
        <w:t xml:space="preserve"> </w:t>
      </w:r>
      <w:r w:rsidR="009C721D">
        <w:rPr>
          <w:rFonts w:cstheme="minorHAnsi"/>
          <w:b/>
          <w:sz w:val="22"/>
          <w:szCs w:val="22"/>
        </w:rPr>
        <w:t>ISSB’s</w:t>
      </w:r>
      <w:r w:rsidR="00AB63C5">
        <w:rPr>
          <w:rFonts w:cstheme="minorHAnsi"/>
          <w:b/>
          <w:sz w:val="22"/>
          <w:szCs w:val="22"/>
        </w:rPr>
        <w:t xml:space="preserve"> </w:t>
      </w:r>
      <w:r w:rsidR="00401B9D">
        <w:rPr>
          <w:rFonts w:cstheme="minorHAnsi"/>
          <w:b/>
          <w:sz w:val="22"/>
          <w:szCs w:val="22"/>
        </w:rPr>
        <w:t xml:space="preserve">current </w:t>
      </w:r>
      <w:r w:rsidR="00824D3E" w:rsidRPr="00A55A4B">
        <w:rPr>
          <w:rFonts w:cstheme="minorHAnsi"/>
          <w:b/>
          <w:sz w:val="22"/>
          <w:szCs w:val="22"/>
        </w:rPr>
        <w:t xml:space="preserve">proposed approach </w:t>
      </w:r>
      <w:r w:rsidR="00824D3E">
        <w:rPr>
          <w:rFonts w:cstheme="minorHAnsi"/>
          <w:b/>
          <w:sz w:val="22"/>
          <w:szCs w:val="22"/>
        </w:rPr>
        <w:t>will embed this very assumption, implying</w:t>
      </w:r>
      <w:r w:rsidR="00824D3E" w:rsidRPr="00A55A4B">
        <w:rPr>
          <w:rFonts w:cstheme="minorHAnsi"/>
          <w:b/>
          <w:sz w:val="22"/>
          <w:szCs w:val="22"/>
        </w:rPr>
        <w:t xml:space="preserve"> that in fact human capital issues relate to the workforce while human rights relate</w:t>
      </w:r>
      <w:r w:rsidR="00014AD4">
        <w:rPr>
          <w:rFonts w:cstheme="minorHAnsi"/>
          <w:b/>
          <w:sz w:val="22"/>
          <w:szCs w:val="22"/>
        </w:rPr>
        <w:t xml:space="preserve"> only</w:t>
      </w:r>
      <w:r w:rsidR="00824D3E" w:rsidRPr="00A55A4B">
        <w:rPr>
          <w:rFonts w:cstheme="minorHAnsi"/>
          <w:b/>
          <w:sz w:val="22"/>
          <w:szCs w:val="22"/>
        </w:rPr>
        <w:t xml:space="preserve"> to the value chain. </w:t>
      </w:r>
    </w:p>
    <w:p w14:paraId="2842B8E3" w14:textId="77777777" w:rsidR="00824D3E" w:rsidRDefault="00824D3E" w:rsidP="00824D3E">
      <w:pPr>
        <w:pStyle w:val="ListParagraph"/>
        <w:ind w:left="0"/>
        <w:rPr>
          <w:rFonts w:cstheme="minorHAnsi"/>
          <w:b/>
          <w:sz w:val="22"/>
          <w:szCs w:val="22"/>
        </w:rPr>
      </w:pPr>
    </w:p>
    <w:p w14:paraId="13B33D5C" w14:textId="77E24228" w:rsidR="00AB63C5" w:rsidRDefault="000975D5" w:rsidP="00B61F4A">
      <w:pPr>
        <w:pStyle w:val="ListParagraph"/>
        <w:numPr>
          <w:ilvl w:val="0"/>
          <w:numId w:val="34"/>
        </w:numPr>
        <w:rPr>
          <w:rFonts w:cstheme="minorHAnsi"/>
          <w:sz w:val="22"/>
          <w:szCs w:val="22"/>
        </w:rPr>
      </w:pPr>
      <w:r w:rsidRPr="009310BD">
        <w:rPr>
          <w:rFonts w:cstheme="minorHAnsi"/>
          <w:sz w:val="22"/>
          <w:szCs w:val="22"/>
        </w:rPr>
        <w:t>The people who help make</w:t>
      </w:r>
      <w:r w:rsidR="00FA67BC">
        <w:rPr>
          <w:rFonts w:cstheme="minorHAnsi"/>
          <w:sz w:val="22"/>
          <w:szCs w:val="22"/>
        </w:rPr>
        <w:t xml:space="preserve"> or deliver</w:t>
      </w:r>
      <w:r w:rsidRPr="009310BD">
        <w:rPr>
          <w:rFonts w:cstheme="minorHAnsi"/>
          <w:sz w:val="22"/>
          <w:szCs w:val="22"/>
        </w:rPr>
        <w:t xml:space="preserve"> company products through their work in corporate </w:t>
      </w:r>
      <w:r w:rsidR="00FA67BC">
        <w:rPr>
          <w:rFonts w:cstheme="minorHAnsi"/>
          <w:sz w:val="22"/>
          <w:szCs w:val="22"/>
        </w:rPr>
        <w:t>value</w:t>
      </w:r>
      <w:r w:rsidRPr="009310BD">
        <w:rPr>
          <w:rFonts w:cstheme="minorHAnsi"/>
          <w:sz w:val="22"/>
          <w:szCs w:val="22"/>
        </w:rPr>
        <w:t xml:space="preserve"> chains </w:t>
      </w:r>
      <w:r w:rsidR="00D27C7B" w:rsidRPr="009310BD">
        <w:rPr>
          <w:rFonts w:cstheme="minorHAnsi"/>
          <w:sz w:val="22"/>
          <w:szCs w:val="22"/>
        </w:rPr>
        <w:t>are part of the</w:t>
      </w:r>
      <w:r w:rsidRPr="009310BD">
        <w:rPr>
          <w:rFonts w:cstheme="minorHAnsi"/>
          <w:sz w:val="22"/>
          <w:szCs w:val="22"/>
        </w:rPr>
        <w:t xml:space="preserve"> human capital on which companies depend</w:t>
      </w:r>
      <w:r w:rsidR="00C347DA" w:rsidRPr="009310BD">
        <w:rPr>
          <w:rFonts w:cstheme="minorHAnsi"/>
          <w:sz w:val="22"/>
          <w:szCs w:val="22"/>
        </w:rPr>
        <w:t>, along with workers in their own workforce</w:t>
      </w:r>
      <w:r>
        <w:t>.</w:t>
      </w:r>
      <w:r w:rsidR="009310BD">
        <w:rPr>
          <w:rStyle w:val="EndnoteReference"/>
        </w:rPr>
        <w:endnoteReference w:id="2"/>
      </w:r>
      <w:r>
        <w:t xml:space="preserve"> </w:t>
      </w:r>
      <w:r w:rsidR="00784F86">
        <w:rPr>
          <w:rFonts w:cstheme="minorHAnsi"/>
          <w:sz w:val="22"/>
          <w:szCs w:val="22"/>
        </w:rPr>
        <w:t xml:space="preserve"> </w:t>
      </w:r>
    </w:p>
    <w:p w14:paraId="33E2B8BB" w14:textId="77777777" w:rsidR="00AB63C5" w:rsidRDefault="00AB63C5" w:rsidP="00B678E6">
      <w:pPr>
        <w:pStyle w:val="ListParagraph"/>
        <w:ind w:left="0"/>
        <w:rPr>
          <w:rFonts w:cstheme="minorHAnsi"/>
          <w:sz w:val="22"/>
          <w:szCs w:val="22"/>
        </w:rPr>
      </w:pPr>
    </w:p>
    <w:p w14:paraId="00CB1838" w14:textId="2C1A6E2E" w:rsidR="00B678E6" w:rsidRDefault="00784F86" w:rsidP="00B61F4A">
      <w:pPr>
        <w:pStyle w:val="ListParagraph"/>
        <w:numPr>
          <w:ilvl w:val="0"/>
          <w:numId w:val="34"/>
        </w:numPr>
        <w:rPr>
          <w:rFonts w:cstheme="minorHAnsi"/>
          <w:sz w:val="22"/>
          <w:szCs w:val="22"/>
        </w:rPr>
      </w:pPr>
      <w:r>
        <w:rPr>
          <w:rFonts w:cstheme="minorHAnsi"/>
          <w:sz w:val="22"/>
          <w:szCs w:val="22"/>
        </w:rPr>
        <w:t>At the same time, h</w:t>
      </w:r>
      <w:r w:rsidR="00824D3E">
        <w:rPr>
          <w:rFonts w:cstheme="minorHAnsi"/>
          <w:sz w:val="22"/>
          <w:szCs w:val="22"/>
        </w:rPr>
        <w:t xml:space="preserve">uman rights regarding freedom from forced and child labor, </w:t>
      </w:r>
      <w:r w:rsidR="00014AD4">
        <w:rPr>
          <w:rFonts w:cstheme="minorHAnsi"/>
          <w:sz w:val="22"/>
          <w:szCs w:val="22"/>
        </w:rPr>
        <w:t>living</w:t>
      </w:r>
      <w:r w:rsidR="00824D3E">
        <w:rPr>
          <w:rFonts w:cstheme="minorHAnsi"/>
          <w:sz w:val="22"/>
          <w:szCs w:val="22"/>
        </w:rPr>
        <w:t xml:space="preserve"> wages and other labor-related human rights cannot be addressed solely in value chain contexts</w:t>
      </w:r>
      <w:r w:rsidR="00750D6E">
        <w:rPr>
          <w:rFonts w:cstheme="minorHAnsi"/>
          <w:sz w:val="22"/>
          <w:szCs w:val="22"/>
        </w:rPr>
        <w:t>; this would</w:t>
      </w:r>
      <w:r w:rsidR="00824D3E">
        <w:rPr>
          <w:rFonts w:cstheme="minorHAnsi"/>
          <w:sz w:val="22"/>
          <w:szCs w:val="22"/>
        </w:rPr>
        <w:t xml:space="preserve"> </w:t>
      </w:r>
      <w:r w:rsidR="00A13BEB">
        <w:rPr>
          <w:rFonts w:cstheme="minorHAnsi"/>
          <w:sz w:val="22"/>
          <w:szCs w:val="22"/>
        </w:rPr>
        <w:t>ignor</w:t>
      </w:r>
      <w:r w:rsidR="00750D6E">
        <w:rPr>
          <w:rFonts w:cstheme="minorHAnsi"/>
          <w:sz w:val="22"/>
          <w:szCs w:val="22"/>
        </w:rPr>
        <w:t>e</w:t>
      </w:r>
      <w:r w:rsidR="00824D3E">
        <w:rPr>
          <w:rFonts w:cstheme="minorHAnsi"/>
          <w:sz w:val="22"/>
          <w:szCs w:val="22"/>
        </w:rPr>
        <w:t xml:space="preserve"> </w:t>
      </w:r>
      <w:r w:rsidR="000975D5">
        <w:rPr>
          <w:rFonts w:cstheme="minorHAnsi"/>
          <w:sz w:val="22"/>
          <w:szCs w:val="22"/>
        </w:rPr>
        <w:t xml:space="preserve">situations where they occur </w:t>
      </w:r>
      <w:r w:rsidR="00824D3E">
        <w:rPr>
          <w:rFonts w:cstheme="minorHAnsi"/>
          <w:sz w:val="22"/>
          <w:szCs w:val="22"/>
        </w:rPr>
        <w:t xml:space="preserve">in company workforces </w:t>
      </w:r>
      <w:r w:rsidR="000B51E8">
        <w:rPr>
          <w:rFonts w:cstheme="minorHAnsi"/>
          <w:sz w:val="22"/>
          <w:szCs w:val="22"/>
        </w:rPr>
        <w:t xml:space="preserve">- </w:t>
      </w:r>
      <w:r w:rsidR="00824D3E">
        <w:rPr>
          <w:rFonts w:cstheme="minorHAnsi"/>
          <w:sz w:val="22"/>
          <w:szCs w:val="22"/>
        </w:rPr>
        <w:t>in both developed and developing economies</w:t>
      </w:r>
      <w:r w:rsidR="000B51E8">
        <w:rPr>
          <w:rFonts w:cstheme="minorHAnsi"/>
          <w:sz w:val="22"/>
          <w:szCs w:val="22"/>
        </w:rPr>
        <w:t xml:space="preserve"> -</w:t>
      </w:r>
      <w:r w:rsidR="00A13BEB">
        <w:rPr>
          <w:rFonts w:cstheme="minorHAnsi"/>
          <w:sz w:val="22"/>
          <w:szCs w:val="22"/>
        </w:rPr>
        <w:t xml:space="preserve"> and </w:t>
      </w:r>
      <w:r w:rsidR="000975D5">
        <w:rPr>
          <w:rFonts w:cstheme="minorHAnsi"/>
          <w:sz w:val="22"/>
          <w:szCs w:val="22"/>
        </w:rPr>
        <w:t>generat</w:t>
      </w:r>
      <w:r w:rsidR="00A13BEB">
        <w:rPr>
          <w:rFonts w:cstheme="minorHAnsi"/>
          <w:sz w:val="22"/>
          <w:szCs w:val="22"/>
        </w:rPr>
        <w:t>e</w:t>
      </w:r>
      <w:r w:rsidR="000975D5">
        <w:rPr>
          <w:rFonts w:cstheme="minorHAnsi"/>
          <w:sz w:val="22"/>
          <w:szCs w:val="22"/>
        </w:rPr>
        <w:t xml:space="preserve"> material risks</w:t>
      </w:r>
      <w:r w:rsidR="00824D3E">
        <w:rPr>
          <w:rFonts w:cstheme="minorHAnsi"/>
          <w:sz w:val="22"/>
          <w:szCs w:val="22"/>
        </w:rPr>
        <w:t xml:space="preserve">. </w:t>
      </w:r>
    </w:p>
    <w:p w14:paraId="296EFEE6" w14:textId="77777777" w:rsidR="00FA67BC" w:rsidRPr="009310BD" w:rsidRDefault="00FA67BC" w:rsidP="009310BD">
      <w:pPr>
        <w:pStyle w:val="ListParagraph"/>
        <w:rPr>
          <w:rFonts w:cstheme="minorHAnsi"/>
          <w:sz w:val="22"/>
          <w:szCs w:val="22"/>
        </w:rPr>
      </w:pPr>
    </w:p>
    <w:p w14:paraId="40587125" w14:textId="05CA8740" w:rsidR="00A13BEB" w:rsidRPr="00AD76F0" w:rsidRDefault="00FA67BC" w:rsidP="009310BD">
      <w:pPr>
        <w:pStyle w:val="ListParagraph"/>
        <w:numPr>
          <w:ilvl w:val="0"/>
          <w:numId w:val="34"/>
        </w:numPr>
        <w:rPr>
          <w:rFonts w:cstheme="minorHAnsi"/>
          <w:sz w:val="22"/>
          <w:szCs w:val="22"/>
        </w:rPr>
      </w:pPr>
      <w:r>
        <w:rPr>
          <w:rFonts w:cstheme="minorHAnsi"/>
          <w:sz w:val="22"/>
          <w:szCs w:val="22"/>
        </w:rPr>
        <w:t xml:space="preserve">In practice, human capital and human rights are extensively overlapping categories </w:t>
      </w:r>
      <w:r w:rsidR="000B51E8">
        <w:rPr>
          <w:rFonts w:cstheme="minorHAnsi"/>
          <w:sz w:val="22"/>
          <w:szCs w:val="22"/>
        </w:rPr>
        <w:t>and</w:t>
      </w:r>
      <w:r>
        <w:rPr>
          <w:rFonts w:cstheme="minorHAnsi"/>
          <w:sz w:val="22"/>
          <w:szCs w:val="22"/>
        </w:rPr>
        <w:t xml:space="preserve"> the issues they address are intertwined</w:t>
      </w:r>
      <w:r w:rsidR="00A13BEB">
        <w:rPr>
          <w:rFonts w:cstheme="minorHAnsi"/>
          <w:sz w:val="22"/>
          <w:szCs w:val="22"/>
        </w:rPr>
        <w:t>:</w:t>
      </w:r>
    </w:p>
    <w:p w14:paraId="47053009" w14:textId="232BBBF5" w:rsidR="00824D3E" w:rsidRPr="00A13BEB" w:rsidRDefault="00B678E6" w:rsidP="00B61F4A">
      <w:pPr>
        <w:pStyle w:val="ListParagraph"/>
        <w:numPr>
          <w:ilvl w:val="0"/>
          <w:numId w:val="23"/>
        </w:numPr>
        <w:rPr>
          <w:rFonts w:cstheme="minorHAnsi"/>
          <w:sz w:val="22"/>
          <w:szCs w:val="22"/>
        </w:rPr>
      </w:pPr>
      <w:r w:rsidRPr="00A13BEB">
        <w:rPr>
          <w:rFonts w:cstheme="minorHAnsi"/>
          <w:sz w:val="22"/>
          <w:szCs w:val="22"/>
        </w:rPr>
        <w:t>W</w:t>
      </w:r>
      <w:r w:rsidR="00C347DA" w:rsidRPr="00A13BEB">
        <w:rPr>
          <w:rFonts w:cstheme="minorHAnsi"/>
          <w:sz w:val="22"/>
          <w:szCs w:val="22"/>
        </w:rPr>
        <w:t>i</w:t>
      </w:r>
      <w:r w:rsidRPr="00A13BEB">
        <w:rPr>
          <w:rFonts w:cstheme="minorHAnsi"/>
          <w:sz w:val="22"/>
          <w:szCs w:val="22"/>
        </w:rPr>
        <w:t xml:space="preserve">th regard to topics </w:t>
      </w:r>
      <w:r w:rsidR="00D27C7B" w:rsidRPr="00A13BEB">
        <w:rPr>
          <w:rFonts w:cstheme="minorHAnsi"/>
          <w:sz w:val="22"/>
          <w:szCs w:val="22"/>
        </w:rPr>
        <w:t>listed</w:t>
      </w:r>
      <w:r w:rsidRPr="00A13BEB">
        <w:rPr>
          <w:rFonts w:cstheme="minorHAnsi"/>
          <w:sz w:val="22"/>
          <w:szCs w:val="22"/>
        </w:rPr>
        <w:t xml:space="preserve"> for potential inclusion under a ‘human capital’ standard</w:t>
      </w:r>
      <w:r w:rsidR="00824D3E" w:rsidRPr="00A13BEB">
        <w:rPr>
          <w:rFonts w:cstheme="minorHAnsi"/>
          <w:sz w:val="22"/>
          <w:szCs w:val="22"/>
        </w:rPr>
        <w:t>:</w:t>
      </w:r>
    </w:p>
    <w:p w14:paraId="77E18B8C" w14:textId="48AF9B96" w:rsidR="00B678E6" w:rsidRDefault="00B678E6" w:rsidP="009310BD">
      <w:pPr>
        <w:pStyle w:val="ListParagraph"/>
        <w:numPr>
          <w:ilvl w:val="0"/>
          <w:numId w:val="30"/>
        </w:numPr>
        <w:rPr>
          <w:rFonts w:cstheme="minorHAnsi"/>
          <w:sz w:val="22"/>
          <w:szCs w:val="22"/>
        </w:rPr>
      </w:pPr>
      <w:r>
        <w:rPr>
          <w:rFonts w:cstheme="minorHAnsi"/>
          <w:sz w:val="22"/>
          <w:szCs w:val="22"/>
        </w:rPr>
        <w:t>DEI is largely about measures to tackle explicit and implicit</w:t>
      </w:r>
      <w:r w:rsidR="008A5B62">
        <w:rPr>
          <w:rFonts w:cstheme="minorHAnsi"/>
          <w:sz w:val="22"/>
          <w:szCs w:val="22"/>
        </w:rPr>
        <w:t xml:space="preserve"> </w:t>
      </w:r>
      <w:r w:rsidR="00FB2F1D">
        <w:rPr>
          <w:rFonts w:cstheme="minorHAnsi"/>
          <w:sz w:val="22"/>
          <w:szCs w:val="22"/>
        </w:rPr>
        <w:t>discrimination</w:t>
      </w:r>
      <w:r w:rsidR="00750D6E">
        <w:rPr>
          <w:rFonts w:cstheme="minorHAnsi"/>
          <w:sz w:val="22"/>
          <w:szCs w:val="22"/>
        </w:rPr>
        <w:t>; freedom from discrimination is a fundamental human right;</w:t>
      </w:r>
      <w:r>
        <w:rPr>
          <w:rFonts w:cstheme="minorHAnsi"/>
          <w:sz w:val="22"/>
          <w:szCs w:val="22"/>
        </w:rPr>
        <w:t xml:space="preserve"> </w:t>
      </w:r>
    </w:p>
    <w:p w14:paraId="22B36250" w14:textId="1EDE98A5" w:rsidR="00B678E6" w:rsidRDefault="00B678E6" w:rsidP="009310BD">
      <w:pPr>
        <w:pStyle w:val="ListParagraph"/>
        <w:numPr>
          <w:ilvl w:val="0"/>
          <w:numId w:val="30"/>
        </w:numPr>
        <w:rPr>
          <w:rFonts w:cstheme="minorHAnsi"/>
          <w:sz w:val="22"/>
          <w:szCs w:val="22"/>
        </w:rPr>
      </w:pPr>
      <w:r>
        <w:rPr>
          <w:rFonts w:cstheme="minorHAnsi"/>
          <w:sz w:val="22"/>
          <w:szCs w:val="22"/>
        </w:rPr>
        <w:t>The issues surrounding gig economy work and other precarious forms of employment fundamentally relate to human rights such as living wages and access to social security;</w:t>
      </w:r>
    </w:p>
    <w:p w14:paraId="1E5BF587" w14:textId="3F9BD479" w:rsidR="00A13BEB" w:rsidRPr="00AD76F0" w:rsidRDefault="00D27C7B" w:rsidP="00AD76F0">
      <w:pPr>
        <w:pStyle w:val="ListParagraph"/>
        <w:numPr>
          <w:ilvl w:val="0"/>
          <w:numId w:val="30"/>
        </w:numPr>
        <w:rPr>
          <w:rFonts w:cstheme="minorHAnsi"/>
          <w:sz w:val="22"/>
          <w:szCs w:val="22"/>
        </w:rPr>
      </w:pPr>
      <w:r>
        <w:rPr>
          <w:rFonts w:cstheme="minorHAnsi"/>
          <w:sz w:val="22"/>
          <w:szCs w:val="22"/>
        </w:rPr>
        <w:t xml:space="preserve">The physical and mental health of a workforce, as affected by workplace conditions, is </w:t>
      </w:r>
      <w:r w:rsidR="009C721D">
        <w:rPr>
          <w:rFonts w:cstheme="minorHAnsi"/>
          <w:sz w:val="22"/>
          <w:szCs w:val="22"/>
        </w:rPr>
        <w:t xml:space="preserve">to a large extent </w:t>
      </w:r>
      <w:r>
        <w:rPr>
          <w:rFonts w:cstheme="minorHAnsi"/>
          <w:sz w:val="22"/>
          <w:szCs w:val="22"/>
        </w:rPr>
        <w:t>a human rights issue</w:t>
      </w:r>
      <w:r w:rsidR="00750D6E">
        <w:rPr>
          <w:rFonts w:cstheme="minorHAnsi"/>
          <w:sz w:val="22"/>
          <w:szCs w:val="22"/>
        </w:rPr>
        <w:t>.</w:t>
      </w:r>
      <w:r w:rsidR="00750D6E">
        <w:rPr>
          <w:rStyle w:val="EndnoteReference"/>
          <w:rFonts w:cstheme="minorHAnsi"/>
          <w:sz w:val="22"/>
          <w:szCs w:val="22"/>
        </w:rPr>
        <w:endnoteReference w:id="3"/>
      </w:r>
    </w:p>
    <w:p w14:paraId="203BFFA3" w14:textId="7A36AB71" w:rsidR="00B678E6" w:rsidRPr="00A13BEB" w:rsidRDefault="00B678E6" w:rsidP="009310BD">
      <w:pPr>
        <w:pStyle w:val="ListParagraph"/>
        <w:numPr>
          <w:ilvl w:val="0"/>
          <w:numId w:val="31"/>
        </w:numPr>
        <w:rPr>
          <w:rFonts w:cstheme="minorHAnsi"/>
          <w:sz w:val="22"/>
          <w:szCs w:val="22"/>
        </w:rPr>
      </w:pPr>
      <w:r w:rsidRPr="00A13BEB">
        <w:rPr>
          <w:rFonts w:cstheme="minorHAnsi"/>
          <w:sz w:val="22"/>
          <w:szCs w:val="22"/>
        </w:rPr>
        <w:t xml:space="preserve">With regard to issues </w:t>
      </w:r>
      <w:r w:rsidR="00D27C7B" w:rsidRPr="00A13BEB">
        <w:rPr>
          <w:rFonts w:cstheme="minorHAnsi"/>
          <w:sz w:val="22"/>
          <w:szCs w:val="22"/>
        </w:rPr>
        <w:t>listed</w:t>
      </w:r>
      <w:r w:rsidRPr="00A13BEB">
        <w:rPr>
          <w:rFonts w:cstheme="minorHAnsi"/>
          <w:sz w:val="22"/>
          <w:szCs w:val="22"/>
        </w:rPr>
        <w:t xml:space="preserve"> for potential inclusion under a ‘human rights’ standard:</w:t>
      </w:r>
    </w:p>
    <w:p w14:paraId="2D109506" w14:textId="1F8A6EBC" w:rsidR="00824D3E" w:rsidRPr="007B1663" w:rsidRDefault="00824D3E" w:rsidP="00044CD7">
      <w:pPr>
        <w:pStyle w:val="ListParagraph"/>
        <w:numPr>
          <w:ilvl w:val="0"/>
          <w:numId w:val="32"/>
        </w:numPr>
        <w:ind w:left="1440"/>
        <w:rPr>
          <w:rFonts w:cstheme="minorHAnsi"/>
          <w:sz w:val="22"/>
          <w:szCs w:val="22"/>
        </w:rPr>
      </w:pPr>
      <w:r w:rsidRPr="007B1663">
        <w:rPr>
          <w:rFonts w:cstheme="minorHAnsi"/>
          <w:sz w:val="22"/>
          <w:szCs w:val="22"/>
        </w:rPr>
        <w:lastRenderedPageBreak/>
        <w:t xml:space="preserve">Child labor </w:t>
      </w:r>
      <w:r w:rsidR="00750D6E">
        <w:rPr>
          <w:rFonts w:cstheme="minorHAnsi"/>
          <w:sz w:val="22"/>
          <w:szCs w:val="22"/>
        </w:rPr>
        <w:t xml:space="preserve">is not limited to the supply chain. For example, it </w:t>
      </w:r>
      <w:r w:rsidRPr="007B1663">
        <w:rPr>
          <w:rFonts w:cstheme="minorHAnsi"/>
          <w:sz w:val="22"/>
          <w:szCs w:val="22"/>
        </w:rPr>
        <w:t>has been identified in 2023 in a range of US company facilities</w:t>
      </w:r>
      <w:r w:rsidRPr="00A55A4B">
        <w:rPr>
          <w:rFonts w:cstheme="minorHAnsi"/>
          <w:sz w:val="22"/>
          <w:szCs w:val="22"/>
        </w:rPr>
        <w:t>, including packaging, food and beverage, apparel and hotel industries</w:t>
      </w:r>
      <w:r w:rsidR="00750D6E">
        <w:rPr>
          <w:rFonts w:cstheme="minorHAnsi"/>
          <w:sz w:val="22"/>
          <w:szCs w:val="22"/>
        </w:rPr>
        <w:t>;</w:t>
      </w:r>
      <w:r w:rsidR="009310BD">
        <w:rPr>
          <w:rStyle w:val="EndnoteReference"/>
          <w:rFonts w:cstheme="minorHAnsi"/>
          <w:sz w:val="22"/>
          <w:szCs w:val="22"/>
        </w:rPr>
        <w:endnoteReference w:id="4"/>
      </w:r>
    </w:p>
    <w:p w14:paraId="427E866A" w14:textId="131ADD92" w:rsidR="00824D3E" w:rsidRDefault="00824D3E" w:rsidP="00044CD7">
      <w:pPr>
        <w:pStyle w:val="ListParagraph"/>
        <w:numPr>
          <w:ilvl w:val="0"/>
          <w:numId w:val="32"/>
        </w:numPr>
        <w:ind w:left="1440"/>
        <w:rPr>
          <w:rFonts w:cstheme="minorHAnsi"/>
          <w:sz w:val="22"/>
          <w:szCs w:val="22"/>
        </w:rPr>
      </w:pPr>
      <w:r>
        <w:rPr>
          <w:rFonts w:cstheme="minorHAnsi"/>
          <w:sz w:val="22"/>
          <w:szCs w:val="22"/>
        </w:rPr>
        <w:t xml:space="preserve">Just Capital estimates that </w:t>
      </w:r>
      <w:r w:rsidRPr="00E47CD1">
        <w:rPr>
          <w:rFonts w:cstheme="minorHAnsi"/>
          <w:sz w:val="22"/>
          <w:szCs w:val="22"/>
        </w:rPr>
        <w:t>50% of workers at the 1,000 largest public</w:t>
      </w:r>
      <w:r w:rsidR="000E2062">
        <w:rPr>
          <w:rFonts w:cstheme="minorHAnsi"/>
          <w:sz w:val="22"/>
          <w:szCs w:val="22"/>
        </w:rPr>
        <w:t>ly</w:t>
      </w:r>
      <w:r w:rsidRPr="00E47CD1">
        <w:rPr>
          <w:rFonts w:cstheme="minorHAnsi"/>
          <w:sz w:val="22"/>
          <w:szCs w:val="22"/>
        </w:rPr>
        <w:t>-traded companies in the U</w:t>
      </w:r>
      <w:r>
        <w:rPr>
          <w:rFonts w:cstheme="minorHAnsi"/>
          <w:sz w:val="22"/>
          <w:szCs w:val="22"/>
        </w:rPr>
        <w:t>S</w:t>
      </w:r>
      <w:r w:rsidRPr="00E47CD1">
        <w:rPr>
          <w:rFonts w:cstheme="minorHAnsi"/>
          <w:sz w:val="22"/>
          <w:szCs w:val="22"/>
        </w:rPr>
        <w:t xml:space="preserve"> earn less than they need to support a family of three</w:t>
      </w:r>
      <w:r w:rsidR="00B678E6">
        <w:rPr>
          <w:rFonts w:cstheme="minorHAnsi"/>
          <w:sz w:val="22"/>
          <w:szCs w:val="22"/>
        </w:rPr>
        <w:t xml:space="preserve"> (</w:t>
      </w:r>
      <w:proofErr w:type="spellStart"/>
      <w:proofErr w:type="gramStart"/>
      <w:r w:rsidR="007F2C7B">
        <w:rPr>
          <w:rFonts w:cstheme="minorHAnsi"/>
          <w:sz w:val="22"/>
          <w:szCs w:val="22"/>
        </w:rPr>
        <w:t>ie</w:t>
      </w:r>
      <w:proofErr w:type="spellEnd"/>
      <w:proofErr w:type="gramEnd"/>
      <w:r w:rsidR="00B678E6">
        <w:rPr>
          <w:rFonts w:cstheme="minorHAnsi"/>
          <w:sz w:val="22"/>
          <w:szCs w:val="22"/>
        </w:rPr>
        <w:t xml:space="preserve"> less than a living wage)</w:t>
      </w:r>
      <w:r w:rsidR="00750D6E">
        <w:rPr>
          <w:rFonts w:cstheme="minorHAnsi"/>
          <w:sz w:val="22"/>
          <w:szCs w:val="22"/>
        </w:rPr>
        <w:t>;</w:t>
      </w:r>
      <w:r w:rsidR="00E82D8A">
        <w:rPr>
          <w:rStyle w:val="EndnoteReference"/>
          <w:rFonts w:cstheme="minorHAnsi"/>
          <w:sz w:val="22"/>
          <w:szCs w:val="22"/>
        </w:rPr>
        <w:endnoteReference w:id="5"/>
      </w:r>
    </w:p>
    <w:p w14:paraId="41197E20" w14:textId="0C8F8A5F" w:rsidR="004417F4" w:rsidRPr="007064A1" w:rsidRDefault="004417F4" w:rsidP="00044CD7">
      <w:pPr>
        <w:pStyle w:val="ListParagraph"/>
        <w:numPr>
          <w:ilvl w:val="0"/>
          <w:numId w:val="32"/>
        </w:numPr>
        <w:ind w:left="1440"/>
        <w:rPr>
          <w:rFonts w:cstheme="minorHAnsi"/>
          <w:sz w:val="22"/>
          <w:szCs w:val="22"/>
        </w:rPr>
      </w:pPr>
      <w:r>
        <w:rPr>
          <w:rFonts w:cstheme="minorHAnsi"/>
          <w:sz w:val="22"/>
          <w:szCs w:val="22"/>
        </w:rPr>
        <w:t xml:space="preserve">Material </w:t>
      </w:r>
      <w:r w:rsidR="00FF3A30">
        <w:rPr>
          <w:rFonts w:cstheme="minorHAnsi"/>
          <w:sz w:val="22"/>
          <w:szCs w:val="22"/>
        </w:rPr>
        <w:t>financial effects</w:t>
      </w:r>
      <w:r>
        <w:rPr>
          <w:rFonts w:cstheme="minorHAnsi"/>
          <w:sz w:val="22"/>
          <w:szCs w:val="22"/>
        </w:rPr>
        <w:t xml:space="preserve"> have frequently result</w:t>
      </w:r>
      <w:r w:rsidR="009C721D">
        <w:rPr>
          <w:rFonts w:cstheme="minorHAnsi"/>
          <w:sz w:val="22"/>
          <w:szCs w:val="22"/>
        </w:rPr>
        <w:t>ed</w:t>
      </w:r>
      <w:r>
        <w:rPr>
          <w:rFonts w:cstheme="minorHAnsi"/>
          <w:sz w:val="22"/>
          <w:szCs w:val="22"/>
        </w:rPr>
        <w:t xml:space="preserve"> from impacts on </w:t>
      </w:r>
      <w:r w:rsidR="007F2C7B">
        <w:rPr>
          <w:rFonts w:cstheme="minorHAnsi"/>
          <w:sz w:val="22"/>
          <w:szCs w:val="22"/>
        </w:rPr>
        <w:t xml:space="preserve">indigenous peoples and local </w:t>
      </w:r>
      <w:r>
        <w:rPr>
          <w:rFonts w:cstheme="minorHAnsi"/>
          <w:sz w:val="22"/>
          <w:szCs w:val="22"/>
        </w:rPr>
        <w:t>communities generated by an entity’s own operations</w:t>
      </w:r>
      <w:r w:rsidR="000B51E8">
        <w:rPr>
          <w:rFonts w:cstheme="minorHAnsi"/>
          <w:sz w:val="22"/>
          <w:szCs w:val="22"/>
        </w:rPr>
        <w:t xml:space="preserve"> -</w:t>
      </w:r>
      <w:r>
        <w:rPr>
          <w:rFonts w:cstheme="minorHAnsi"/>
          <w:sz w:val="22"/>
          <w:szCs w:val="22"/>
        </w:rPr>
        <w:t xml:space="preserve"> not just in its value chain</w:t>
      </w:r>
      <w:r w:rsidR="000B51E8">
        <w:rPr>
          <w:rFonts w:cstheme="minorHAnsi"/>
          <w:sz w:val="22"/>
          <w:szCs w:val="22"/>
        </w:rPr>
        <w:t xml:space="preserve"> -</w:t>
      </w:r>
      <w:r w:rsidR="007F2C7B">
        <w:rPr>
          <w:rFonts w:cstheme="minorHAnsi"/>
          <w:sz w:val="22"/>
          <w:szCs w:val="22"/>
        </w:rPr>
        <w:t xml:space="preserve"> including recent examples of tailing</w:t>
      </w:r>
      <w:r w:rsidR="000B51E8">
        <w:rPr>
          <w:rFonts w:cstheme="minorHAnsi"/>
          <w:sz w:val="22"/>
          <w:szCs w:val="22"/>
        </w:rPr>
        <w:t>s</w:t>
      </w:r>
      <w:r w:rsidR="007F2C7B">
        <w:rPr>
          <w:rFonts w:cstheme="minorHAnsi"/>
          <w:sz w:val="22"/>
          <w:szCs w:val="22"/>
        </w:rPr>
        <w:t xml:space="preserve"> dam collapses and the destruction of ancient indigenous sites.</w:t>
      </w:r>
      <w:r w:rsidR="009310BD">
        <w:rPr>
          <w:rStyle w:val="EndnoteReference"/>
          <w:rFonts w:cstheme="minorHAnsi"/>
          <w:sz w:val="22"/>
          <w:szCs w:val="22"/>
        </w:rPr>
        <w:endnoteReference w:id="6"/>
      </w:r>
    </w:p>
    <w:p w14:paraId="7080C539" w14:textId="77777777" w:rsidR="002E49F7" w:rsidRDefault="002E49F7" w:rsidP="00044CD7">
      <w:pPr>
        <w:pStyle w:val="ListParagraph"/>
        <w:ind w:left="0"/>
        <w:rPr>
          <w:rFonts w:cstheme="minorHAnsi"/>
          <w:sz w:val="22"/>
          <w:szCs w:val="22"/>
        </w:rPr>
      </w:pPr>
    </w:p>
    <w:p w14:paraId="58F8757A" w14:textId="5C335C8F" w:rsidR="002E49F7" w:rsidRDefault="002E49F7" w:rsidP="00F840FA">
      <w:pPr>
        <w:pStyle w:val="ListParagraph"/>
        <w:numPr>
          <w:ilvl w:val="0"/>
          <w:numId w:val="16"/>
        </w:numPr>
        <w:spacing w:line="276" w:lineRule="auto"/>
        <w:rPr>
          <w:rFonts w:cstheme="minorHAnsi"/>
          <w:b/>
          <w:sz w:val="22"/>
          <w:szCs w:val="22"/>
        </w:rPr>
      </w:pPr>
      <w:r w:rsidRPr="002E49F7">
        <w:rPr>
          <w:rFonts w:cstheme="minorHAnsi"/>
          <w:b/>
          <w:sz w:val="22"/>
          <w:szCs w:val="22"/>
        </w:rPr>
        <w:t xml:space="preserve">While ISSB’s intention to develop ‘just transition’ disclosures </w:t>
      </w:r>
      <w:proofErr w:type="gramStart"/>
      <w:r w:rsidRPr="002E49F7">
        <w:rPr>
          <w:rFonts w:cstheme="minorHAnsi"/>
          <w:b/>
          <w:sz w:val="22"/>
          <w:szCs w:val="22"/>
        </w:rPr>
        <w:t>is</w:t>
      </w:r>
      <w:proofErr w:type="gramEnd"/>
      <w:r w:rsidRPr="002E49F7">
        <w:rPr>
          <w:rFonts w:cstheme="minorHAnsi"/>
          <w:b/>
          <w:sz w:val="22"/>
          <w:szCs w:val="22"/>
        </w:rPr>
        <w:t xml:space="preserve"> welcome, this is not a sufficient antidote to the broader interaction</w:t>
      </w:r>
      <w:r w:rsidR="00F840FA">
        <w:rPr>
          <w:rFonts w:cstheme="minorHAnsi"/>
          <w:b/>
          <w:sz w:val="22"/>
          <w:szCs w:val="22"/>
        </w:rPr>
        <w:t>s</w:t>
      </w:r>
      <w:r w:rsidRPr="002E49F7">
        <w:rPr>
          <w:rFonts w:cstheme="minorHAnsi"/>
          <w:b/>
          <w:sz w:val="22"/>
          <w:szCs w:val="22"/>
        </w:rPr>
        <w:t xml:space="preserve"> between inequality and climate change, which require attention to social-</w:t>
      </w:r>
      <w:r w:rsidR="00F840FA">
        <w:rPr>
          <w:rFonts w:cstheme="minorHAnsi"/>
          <w:b/>
          <w:sz w:val="22"/>
          <w:szCs w:val="22"/>
        </w:rPr>
        <w:t>related</w:t>
      </w:r>
      <w:r w:rsidRPr="002E49F7">
        <w:rPr>
          <w:rFonts w:cstheme="minorHAnsi"/>
          <w:b/>
          <w:sz w:val="22"/>
          <w:szCs w:val="22"/>
        </w:rPr>
        <w:t xml:space="preserve"> risks </w:t>
      </w:r>
      <w:r w:rsidR="00F840FA">
        <w:rPr>
          <w:rFonts w:cstheme="minorHAnsi"/>
          <w:b/>
          <w:sz w:val="22"/>
          <w:szCs w:val="22"/>
        </w:rPr>
        <w:t xml:space="preserve">and opportunities </w:t>
      </w:r>
      <w:r w:rsidRPr="002E49F7">
        <w:rPr>
          <w:rFonts w:cstheme="minorHAnsi"/>
          <w:b/>
          <w:sz w:val="22"/>
          <w:szCs w:val="22"/>
        </w:rPr>
        <w:t>more generally</w:t>
      </w:r>
      <w:r w:rsidR="00750D6E">
        <w:rPr>
          <w:rFonts w:cstheme="minorHAnsi"/>
          <w:b/>
          <w:sz w:val="22"/>
          <w:szCs w:val="22"/>
        </w:rPr>
        <w:t>.</w:t>
      </w:r>
      <w:r w:rsidRPr="002E49F7">
        <w:rPr>
          <w:rFonts w:cstheme="minorHAnsi"/>
          <w:b/>
          <w:sz w:val="22"/>
          <w:szCs w:val="22"/>
        </w:rPr>
        <w:t xml:space="preserve"> </w:t>
      </w:r>
    </w:p>
    <w:p w14:paraId="229BFB00" w14:textId="77777777" w:rsidR="009600CE" w:rsidRPr="002E49F7" w:rsidRDefault="009600CE" w:rsidP="009600CE">
      <w:pPr>
        <w:pStyle w:val="ListParagraph"/>
        <w:spacing w:line="276" w:lineRule="auto"/>
        <w:ind w:left="360"/>
        <w:rPr>
          <w:rFonts w:cstheme="minorHAnsi"/>
          <w:b/>
          <w:sz w:val="22"/>
          <w:szCs w:val="22"/>
        </w:rPr>
      </w:pPr>
    </w:p>
    <w:p w14:paraId="4EBF9D50" w14:textId="400D809E" w:rsidR="002E49F7" w:rsidRPr="00AD76F0" w:rsidRDefault="00F840FA" w:rsidP="00F840FA">
      <w:pPr>
        <w:pStyle w:val="ListParagraph"/>
        <w:numPr>
          <w:ilvl w:val="0"/>
          <w:numId w:val="35"/>
        </w:numPr>
        <w:spacing w:line="276" w:lineRule="auto"/>
        <w:ind w:left="720"/>
        <w:rPr>
          <w:rFonts w:cstheme="minorHAnsi"/>
          <w:sz w:val="22"/>
          <w:szCs w:val="22"/>
        </w:rPr>
      </w:pPr>
      <w:r>
        <w:rPr>
          <w:rFonts w:cstheme="minorHAnsi"/>
          <w:sz w:val="22"/>
          <w:szCs w:val="22"/>
        </w:rPr>
        <w:t>T</w:t>
      </w:r>
      <w:r w:rsidR="002E49F7" w:rsidRPr="00F840FA">
        <w:rPr>
          <w:rFonts w:cstheme="minorHAnsi"/>
          <w:sz w:val="22"/>
          <w:szCs w:val="22"/>
        </w:rPr>
        <w:t xml:space="preserve">he latest </w:t>
      </w:r>
      <w:r w:rsidR="002E49F7" w:rsidRPr="00F840FA">
        <w:rPr>
          <w:sz w:val="22"/>
          <w:szCs w:val="22"/>
        </w:rPr>
        <w:t>text from the Intergovernmental Panel on Climate Change (IPCC) set out</w:t>
      </w:r>
      <w:r>
        <w:rPr>
          <w:sz w:val="22"/>
          <w:szCs w:val="22"/>
        </w:rPr>
        <w:t>s</w:t>
      </w:r>
      <w:r w:rsidR="002E49F7" w:rsidRPr="00F840FA">
        <w:rPr>
          <w:sz w:val="22"/>
          <w:szCs w:val="22"/>
        </w:rPr>
        <w:t xml:space="preserve"> clearly that inequities linked to gender, ethnicity, income, and other factors increase vulnerability to climate risks and impacts</w:t>
      </w:r>
      <w:r w:rsidRPr="00F840FA">
        <w:rPr>
          <w:sz w:val="22"/>
          <w:szCs w:val="22"/>
        </w:rPr>
        <w:t xml:space="preserve">. The IPPC </w:t>
      </w:r>
      <w:r w:rsidR="002E49F7" w:rsidRPr="00F840FA">
        <w:rPr>
          <w:sz w:val="22"/>
          <w:szCs w:val="22"/>
        </w:rPr>
        <w:t>calls for action to tackle inequality as a key lever in achieving climate resilience and adaptation.</w:t>
      </w:r>
      <w:r w:rsidR="002E49F7">
        <w:rPr>
          <w:rStyle w:val="EndnoteReference"/>
          <w:sz w:val="22"/>
          <w:szCs w:val="22"/>
        </w:rPr>
        <w:endnoteReference w:id="7"/>
      </w:r>
    </w:p>
    <w:p w14:paraId="610C00A4" w14:textId="77777777" w:rsidR="00AD76F0" w:rsidRPr="00F840FA" w:rsidRDefault="00AD76F0" w:rsidP="00AD76F0">
      <w:pPr>
        <w:pStyle w:val="ListParagraph"/>
        <w:spacing w:line="276" w:lineRule="auto"/>
        <w:rPr>
          <w:rFonts w:cstheme="minorHAnsi"/>
          <w:sz w:val="22"/>
          <w:szCs w:val="22"/>
        </w:rPr>
      </w:pPr>
    </w:p>
    <w:p w14:paraId="5055444B" w14:textId="2D5E7BE6" w:rsidR="002E49F7" w:rsidRPr="00F840FA" w:rsidRDefault="002E49F7" w:rsidP="00F840FA">
      <w:pPr>
        <w:pStyle w:val="ListParagraph"/>
        <w:numPr>
          <w:ilvl w:val="0"/>
          <w:numId w:val="35"/>
        </w:numPr>
        <w:spacing w:line="276" w:lineRule="auto"/>
        <w:ind w:left="720"/>
        <w:rPr>
          <w:rFonts w:cstheme="minorHAnsi"/>
          <w:sz w:val="22"/>
          <w:szCs w:val="22"/>
        </w:rPr>
      </w:pPr>
      <w:r w:rsidRPr="00F840FA">
        <w:rPr>
          <w:rFonts w:cstheme="minorHAnsi"/>
          <w:sz w:val="22"/>
          <w:szCs w:val="22"/>
        </w:rPr>
        <w:t xml:space="preserve">This is distinct from specific actions by </w:t>
      </w:r>
      <w:r w:rsidR="00F840FA">
        <w:rPr>
          <w:rFonts w:cstheme="minorHAnsi"/>
          <w:sz w:val="22"/>
          <w:szCs w:val="22"/>
        </w:rPr>
        <w:t xml:space="preserve">individual </w:t>
      </w:r>
      <w:r w:rsidRPr="00F840FA">
        <w:rPr>
          <w:rFonts w:cstheme="minorHAnsi"/>
          <w:sz w:val="22"/>
          <w:szCs w:val="22"/>
        </w:rPr>
        <w:t xml:space="preserve">entities to mitigate </w:t>
      </w:r>
      <w:r w:rsidR="00F840FA" w:rsidRPr="00F840FA">
        <w:rPr>
          <w:rFonts w:cstheme="minorHAnsi"/>
          <w:sz w:val="22"/>
          <w:szCs w:val="22"/>
        </w:rPr>
        <w:t xml:space="preserve">the </w:t>
      </w:r>
      <w:r w:rsidRPr="00F840FA">
        <w:rPr>
          <w:rFonts w:cstheme="minorHAnsi"/>
          <w:sz w:val="22"/>
          <w:szCs w:val="22"/>
        </w:rPr>
        <w:t xml:space="preserve">risks and increase </w:t>
      </w:r>
      <w:r w:rsidR="00F840FA" w:rsidRPr="00F840FA">
        <w:rPr>
          <w:rFonts w:cstheme="minorHAnsi"/>
          <w:sz w:val="22"/>
          <w:szCs w:val="22"/>
        </w:rPr>
        <w:t xml:space="preserve">the </w:t>
      </w:r>
      <w:r w:rsidRPr="00F840FA">
        <w:rPr>
          <w:rFonts w:cstheme="minorHAnsi"/>
          <w:sz w:val="22"/>
          <w:szCs w:val="22"/>
        </w:rPr>
        <w:t xml:space="preserve">opportunities for workers, communities and consumers </w:t>
      </w:r>
      <w:r w:rsidR="00F840FA">
        <w:rPr>
          <w:rFonts w:cstheme="minorHAnsi"/>
          <w:sz w:val="22"/>
          <w:szCs w:val="22"/>
        </w:rPr>
        <w:t>in</w:t>
      </w:r>
      <w:r w:rsidRPr="00F840FA">
        <w:rPr>
          <w:rFonts w:cstheme="minorHAnsi"/>
          <w:sz w:val="22"/>
          <w:szCs w:val="22"/>
        </w:rPr>
        <w:t xml:space="preserve"> their </w:t>
      </w:r>
      <w:r w:rsidR="00F840FA" w:rsidRPr="00F840FA">
        <w:rPr>
          <w:rFonts w:cstheme="minorHAnsi"/>
          <w:sz w:val="22"/>
          <w:szCs w:val="22"/>
        </w:rPr>
        <w:t xml:space="preserve">own </w:t>
      </w:r>
      <w:r w:rsidRPr="00F840FA">
        <w:rPr>
          <w:rFonts w:cstheme="minorHAnsi"/>
          <w:sz w:val="22"/>
          <w:szCs w:val="22"/>
        </w:rPr>
        <w:t>climate strategie</w:t>
      </w:r>
      <w:r w:rsidR="00F840FA">
        <w:rPr>
          <w:rFonts w:cstheme="minorHAnsi"/>
          <w:sz w:val="22"/>
          <w:szCs w:val="22"/>
        </w:rPr>
        <w:t>s. It therefore extends well beyond the scope of potential ‘just transition’ disclosures</w:t>
      </w:r>
      <w:r w:rsidRPr="00F840FA">
        <w:rPr>
          <w:rFonts w:cstheme="minorHAnsi"/>
          <w:sz w:val="22"/>
          <w:szCs w:val="22"/>
        </w:rPr>
        <w:t xml:space="preserve">.     </w:t>
      </w:r>
    </w:p>
    <w:p w14:paraId="0D2ED6F0" w14:textId="77777777" w:rsidR="002E49F7" w:rsidRPr="00B61F4A" w:rsidRDefault="002E49F7" w:rsidP="007B26DD">
      <w:pPr>
        <w:spacing w:line="276" w:lineRule="auto"/>
        <w:rPr>
          <w:b/>
          <w:color w:val="C00000"/>
        </w:rPr>
      </w:pPr>
    </w:p>
    <w:p w14:paraId="05E5DD83" w14:textId="2D8719D7" w:rsidR="000E2062" w:rsidRPr="00B61F4A" w:rsidRDefault="000E2062" w:rsidP="009310BD">
      <w:pPr>
        <w:pStyle w:val="ListParagraph"/>
        <w:numPr>
          <w:ilvl w:val="0"/>
          <w:numId w:val="11"/>
        </w:numPr>
        <w:spacing w:line="276" w:lineRule="auto"/>
        <w:rPr>
          <w:b/>
          <w:color w:val="C00000"/>
        </w:rPr>
      </w:pPr>
      <w:r w:rsidRPr="00B61F4A">
        <w:rPr>
          <w:rFonts w:cstheme="minorHAnsi"/>
          <w:b/>
          <w:color w:val="C00000"/>
        </w:rPr>
        <w:t xml:space="preserve">The Opportunity for ISSB to set a clear </w:t>
      </w:r>
      <w:r w:rsidR="00AB63C5" w:rsidRPr="00B61F4A">
        <w:rPr>
          <w:rFonts w:cstheme="minorHAnsi"/>
          <w:b/>
          <w:color w:val="C00000"/>
        </w:rPr>
        <w:t xml:space="preserve">foundation and </w:t>
      </w:r>
      <w:r w:rsidRPr="00B61F4A">
        <w:rPr>
          <w:rFonts w:cstheme="minorHAnsi"/>
          <w:b/>
          <w:color w:val="C00000"/>
        </w:rPr>
        <w:t xml:space="preserve">architecture for social-related disclosures on which future standards can build.  </w:t>
      </w:r>
    </w:p>
    <w:p w14:paraId="0A51482B" w14:textId="77777777" w:rsidR="000E2062" w:rsidRDefault="000E2062" w:rsidP="000E2062">
      <w:pPr>
        <w:pStyle w:val="ListParagraph"/>
        <w:spacing w:line="276" w:lineRule="auto"/>
        <w:ind w:left="360"/>
        <w:rPr>
          <w:rFonts w:cstheme="minorHAnsi"/>
          <w:b/>
          <w:sz w:val="22"/>
          <w:szCs w:val="22"/>
        </w:rPr>
      </w:pPr>
    </w:p>
    <w:p w14:paraId="3313998A" w14:textId="7255A883" w:rsidR="00540DA1" w:rsidRPr="009310BD" w:rsidRDefault="00014AD4" w:rsidP="009310BD">
      <w:pPr>
        <w:pStyle w:val="ListParagraph"/>
        <w:numPr>
          <w:ilvl w:val="0"/>
          <w:numId w:val="19"/>
        </w:numPr>
        <w:spacing w:line="276" w:lineRule="auto"/>
        <w:rPr>
          <w:rFonts w:cstheme="minorHAnsi"/>
          <w:sz w:val="22"/>
          <w:szCs w:val="22"/>
        </w:rPr>
      </w:pPr>
      <w:r>
        <w:rPr>
          <w:rFonts w:cstheme="minorHAnsi"/>
          <w:b/>
          <w:sz w:val="22"/>
          <w:szCs w:val="22"/>
        </w:rPr>
        <w:t>ISSB has committed to setting the global building blocks for sustainability reporting from a financial materiality perspective. To do so, it</w:t>
      </w:r>
      <w:r w:rsidR="007F2C7B">
        <w:rPr>
          <w:rFonts w:cstheme="minorHAnsi"/>
          <w:b/>
          <w:sz w:val="22"/>
          <w:szCs w:val="22"/>
        </w:rPr>
        <w:t>s social standards</w:t>
      </w:r>
      <w:r>
        <w:rPr>
          <w:rFonts w:cstheme="minorHAnsi"/>
          <w:b/>
          <w:sz w:val="22"/>
          <w:szCs w:val="22"/>
        </w:rPr>
        <w:t xml:space="preserve"> need to start with a </w:t>
      </w:r>
      <w:r w:rsidR="00756D41" w:rsidRPr="00784F86">
        <w:rPr>
          <w:rFonts w:cstheme="minorHAnsi"/>
          <w:b/>
          <w:sz w:val="22"/>
          <w:szCs w:val="22"/>
        </w:rPr>
        <w:t xml:space="preserve">cross-cutting </w:t>
      </w:r>
      <w:r w:rsidR="007F2C7B">
        <w:rPr>
          <w:rFonts w:cstheme="minorHAnsi"/>
          <w:b/>
          <w:sz w:val="22"/>
          <w:szCs w:val="22"/>
        </w:rPr>
        <w:t>thematic standard</w:t>
      </w:r>
      <w:r w:rsidR="00756D41" w:rsidRPr="00784F86">
        <w:rPr>
          <w:rFonts w:cstheme="minorHAnsi"/>
          <w:b/>
          <w:sz w:val="22"/>
          <w:szCs w:val="22"/>
        </w:rPr>
        <w:t xml:space="preserve"> </w:t>
      </w:r>
      <w:r>
        <w:rPr>
          <w:rFonts w:cstheme="minorHAnsi"/>
          <w:b/>
          <w:sz w:val="22"/>
          <w:szCs w:val="22"/>
        </w:rPr>
        <w:t xml:space="preserve">that can </w:t>
      </w:r>
      <w:r w:rsidR="004417F4">
        <w:rPr>
          <w:rFonts w:cstheme="minorHAnsi"/>
          <w:b/>
          <w:sz w:val="22"/>
          <w:szCs w:val="22"/>
        </w:rPr>
        <w:t xml:space="preserve">set the foundation and the architecture necessary to </w:t>
      </w:r>
      <w:r w:rsidR="007F2C7B">
        <w:rPr>
          <w:rFonts w:cstheme="minorHAnsi"/>
          <w:b/>
          <w:sz w:val="22"/>
          <w:szCs w:val="22"/>
        </w:rPr>
        <w:t xml:space="preserve">navigate these issues. </w:t>
      </w:r>
    </w:p>
    <w:p w14:paraId="41EAEC65" w14:textId="77777777" w:rsidR="00540DA1" w:rsidRDefault="00540DA1" w:rsidP="009310BD">
      <w:pPr>
        <w:pStyle w:val="ListParagraph"/>
        <w:spacing w:line="276" w:lineRule="auto"/>
        <w:rPr>
          <w:rFonts w:cstheme="minorHAnsi"/>
          <w:sz w:val="22"/>
          <w:szCs w:val="22"/>
        </w:rPr>
      </w:pPr>
    </w:p>
    <w:p w14:paraId="44E4ECC4" w14:textId="24818C37" w:rsidR="007F2C7B" w:rsidRDefault="000E2062" w:rsidP="00195098">
      <w:pPr>
        <w:pStyle w:val="ListParagraph"/>
        <w:numPr>
          <w:ilvl w:val="0"/>
          <w:numId w:val="21"/>
        </w:numPr>
        <w:rPr>
          <w:rFonts w:cstheme="minorHAnsi"/>
          <w:sz w:val="22"/>
          <w:szCs w:val="22"/>
        </w:rPr>
      </w:pPr>
      <w:r>
        <w:rPr>
          <w:rFonts w:cstheme="minorHAnsi"/>
          <w:sz w:val="22"/>
          <w:szCs w:val="22"/>
        </w:rPr>
        <w:t xml:space="preserve">A thematic standard on ‘social-related’ disclosures </w:t>
      </w:r>
      <w:r w:rsidR="004417F4">
        <w:rPr>
          <w:rFonts w:cstheme="minorHAnsi"/>
          <w:sz w:val="22"/>
          <w:szCs w:val="22"/>
        </w:rPr>
        <w:t>can</w:t>
      </w:r>
      <w:r>
        <w:rPr>
          <w:rFonts w:cstheme="minorHAnsi"/>
          <w:sz w:val="22"/>
          <w:szCs w:val="22"/>
        </w:rPr>
        <w:t xml:space="preserve"> provide an organizing construct and logic for reporting entities to </w:t>
      </w:r>
      <w:r w:rsidR="00AB63C5">
        <w:rPr>
          <w:rFonts w:cstheme="minorHAnsi"/>
          <w:sz w:val="22"/>
          <w:szCs w:val="22"/>
        </w:rPr>
        <w:t xml:space="preserve">understand how </w:t>
      </w:r>
      <w:r w:rsidR="00FA67BC">
        <w:rPr>
          <w:rFonts w:cstheme="minorHAnsi"/>
          <w:sz w:val="22"/>
          <w:szCs w:val="22"/>
        </w:rPr>
        <w:t xml:space="preserve">specific types of social-related impacts, risks and opportunities </w:t>
      </w:r>
      <w:r w:rsidR="00AB63C5">
        <w:rPr>
          <w:rFonts w:cstheme="minorHAnsi"/>
          <w:sz w:val="22"/>
          <w:szCs w:val="22"/>
        </w:rPr>
        <w:t>relate to their own operations and value chain</w:t>
      </w:r>
      <w:r w:rsidR="00AD76F0">
        <w:rPr>
          <w:rFonts w:cstheme="minorHAnsi"/>
          <w:sz w:val="22"/>
          <w:szCs w:val="22"/>
        </w:rPr>
        <w:t>s</w:t>
      </w:r>
      <w:r w:rsidR="00014AD4">
        <w:rPr>
          <w:rFonts w:cstheme="minorHAnsi"/>
          <w:sz w:val="22"/>
          <w:szCs w:val="22"/>
        </w:rPr>
        <w:t xml:space="preserve">. </w:t>
      </w:r>
      <w:r w:rsidR="007F2C7B">
        <w:rPr>
          <w:rFonts w:cstheme="minorHAnsi"/>
          <w:sz w:val="22"/>
          <w:szCs w:val="22"/>
        </w:rPr>
        <w:t>In doing so</w:t>
      </w:r>
      <w:r w:rsidR="00FA67BC">
        <w:rPr>
          <w:rFonts w:cstheme="minorHAnsi"/>
          <w:sz w:val="22"/>
          <w:szCs w:val="22"/>
        </w:rPr>
        <w:t>, such a standard</w:t>
      </w:r>
      <w:r w:rsidR="007F2C7B">
        <w:rPr>
          <w:rFonts w:cstheme="minorHAnsi"/>
          <w:sz w:val="22"/>
          <w:szCs w:val="22"/>
        </w:rPr>
        <w:t xml:space="preserve">: </w:t>
      </w:r>
    </w:p>
    <w:p w14:paraId="01AAAB56" w14:textId="77777777" w:rsidR="000B51E8" w:rsidRDefault="000B51E8" w:rsidP="000B51E8">
      <w:pPr>
        <w:pStyle w:val="ListParagraph"/>
        <w:rPr>
          <w:rFonts w:cstheme="minorHAnsi"/>
          <w:sz w:val="22"/>
          <w:szCs w:val="22"/>
        </w:rPr>
      </w:pPr>
    </w:p>
    <w:p w14:paraId="1F80A2FA" w14:textId="6451307C" w:rsidR="00AB63C5" w:rsidRPr="007F2C7B" w:rsidRDefault="007F2C7B" w:rsidP="009310BD">
      <w:pPr>
        <w:pStyle w:val="ListParagraph"/>
        <w:numPr>
          <w:ilvl w:val="1"/>
          <w:numId w:val="21"/>
        </w:numPr>
        <w:rPr>
          <w:rFonts w:cstheme="minorHAnsi"/>
          <w:sz w:val="22"/>
          <w:szCs w:val="22"/>
        </w:rPr>
      </w:pPr>
      <w:r>
        <w:rPr>
          <w:rFonts w:cstheme="minorHAnsi"/>
          <w:sz w:val="22"/>
          <w:szCs w:val="22"/>
        </w:rPr>
        <w:t xml:space="preserve">can </w:t>
      </w:r>
      <w:r w:rsidRPr="007F2C7B">
        <w:rPr>
          <w:rFonts w:cstheme="minorHAnsi"/>
          <w:sz w:val="22"/>
          <w:szCs w:val="22"/>
        </w:rPr>
        <w:t xml:space="preserve">help </w:t>
      </w:r>
      <w:r w:rsidR="000B51E8">
        <w:rPr>
          <w:rFonts w:cstheme="minorHAnsi"/>
          <w:sz w:val="22"/>
          <w:szCs w:val="22"/>
        </w:rPr>
        <w:t>reduce</w:t>
      </w:r>
      <w:r w:rsidRPr="009310BD">
        <w:rPr>
          <w:rFonts w:cstheme="minorHAnsi"/>
          <w:sz w:val="22"/>
          <w:szCs w:val="22"/>
        </w:rPr>
        <w:t>, rather than compound, the existing confusion between categories of social issues, including human capital, human rights and social capital.</w:t>
      </w:r>
    </w:p>
    <w:p w14:paraId="0068C650" w14:textId="4E8C8C08" w:rsidR="00AB63C5" w:rsidRDefault="00AB63C5" w:rsidP="000E2062">
      <w:pPr>
        <w:pStyle w:val="ListParagraph"/>
        <w:ind w:left="0"/>
        <w:rPr>
          <w:rFonts w:cstheme="minorHAnsi"/>
          <w:sz w:val="22"/>
          <w:szCs w:val="22"/>
        </w:rPr>
      </w:pPr>
    </w:p>
    <w:p w14:paraId="596508B7" w14:textId="534FEEA7" w:rsidR="002808ED" w:rsidRDefault="002808ED" w:rsidP="009310BD">
      <w:pPr>
        <w:pStyle w:val="ListParagraph"/>
        <w:numPr>
          <w:ilvl w:val="0"/>
          <w:numId w:val="29"/>
        </w:numPr>
        <w:rPr>
          <w:rFonts w:cstheme="minorHAnsi"/>
          <w:sz w:val="22"/>
          <w:szCs w:val="22"/>
        </w:rPr>
      </w:pPr>
      <w:r>
        <w:rPr>
          <w:rFonts w:cstheme="minorHAnsi"/>
          <w:sz w:val="22"/>
          <w:szCs w:val="22"/>
        </w:rPr>
        <w:t xml:space="preserve">can support a more complete understanding of how social-related risks and </w:t>
      </w:r>
      <w:r w:rsidRPr="009569AB">
        <w:rPr>
          <w:rFonts w:cstheme="minorHAnsi"/>
          <w:sz w:val="22"/>
          <w:szCs w:val="22"/>
        </w:rPr>
        <w:t>opportunities may derive from entities’ own impacts and dependencies on people or from the systemic risk of inequality</w:t>
      </w:r>
      <w:r>
        <w:rPr>
          <w:rFonts w:cstheme="minorHAnsi"/>
          <w:sz w:val="22"/>
          <w:szCs w:val="22"/>
        </w:rPr>
        <w:t>;</w:t>
      </w:r>
    </w:p>
    <w:p w14:paraId="140C2E53" w14:textId="77777777" w:rsidR="002808ED" w:rsidRDefault="002808ED" w:rsidP="009310BD">
      <w:pPr>
        <w:pStyle w:val="ListParagraph"/>
        <w:ind w:left="1440"/>
        <w:rPr>
          <w:rFonts w:cstheme="minorHAnsi"/>
          <w:sz w:val="22"/>
          <w:szCs w:val="22"/>
        </w:rPr>
      </w:pPr>
    </w:p>
    <w:p w14:paraId="3259D176" w14:textId="1BC475C3" w:rsidR="002808ED" w:rsidRDefault="002808ED" w:rsidP="009310BD">
      <w:pPr>
        <w:pStyle w:val="ListParagraph"/>
        <w:numPr>
          <w:ilvl w:val="0"/>
          <w:numId w:val="29"/>
        </w:numPr>
        <w:rPr>
          <w:rFonts w:cstheme="minorHAnsi"/>
          <w:sz w:val="22"/>
          <w:szCs w:val="22"/>
        </w:rPr>
      </w:pPr>
      <w:r>
        <w:rPr>
          <w:rFonts w:cstheme="minorHAnsi"/>
          <w:sz w:val="22"/>
          <w:szCs w:val="22"/>
        </w:rPr>
        <w:t>can thereby support consistent and coherent approaches to the identification of material social information;</w:t>
      </w:r>
    </w:p>
    <w:p w14:paraId="3AC57542" w14:textId="77777777" w:rsidR="002808ED" w:rsidRDefault="002808ED" w:rsidP="009310BD">
      <w:pPr>
        <w:pStyle w:val="ListParagraph"/>
        <w:ind w:left="1440"/>
        <w:rPr>
          <w:rFonts w:cstheme="minorHAnsi"/>
          <w:sz w:val="22"/>
          <w:szCs w:val="22"/>
        </w:rPr>
      </w:pPr>
    </w:p>
    <w:p w14:paraId="44303334" w14:textId="07C5E90C" w:rsidR="002808ED" w:rsidRDefault="002808ED" w:rsidP="009310BD">
      <w:pPr>
        <w:pStyle w:val="ListParagraph"/>
        <w:numPr>
          <w:ilvl w:val="0"/>
          <w:numId w:val="28"/>
        </w:numPr>
        <w:rPr>
          <w:rFonts w:cstheme="minorHAnsi"/>
          <w:sz w:val="22"/>
          <w:szCs w:val="22"/>
        </w:rPr>
      </w:pPr>
      <w:r>
        <w:rPr>
          <w:rFonts w:cstheme="minorHAnsi"/>
          <w:sz w:val="22"/>
          <w:szCs w:val="22"/>
        </w:rPr>
        <w:t xml:space="preserve">This will enable providers of capital to develop systematic approaches to the integration of these material matters in </w:t>
      </w:r>
      <w:r w:rsidR="000B51E8">
        <w:rPr>
          <w:rFonts w:cstheme="minorHAnsi"/>
          <w:sz w:val="22"/>
          <w:szCs w:val="22"/>
        </w:rPr>
        <w:t xml:space="preserve">their </w:t>
      </w:r>
      <w:r>
        <w:rPr>
          <w:rFonts w:cstheme="minorHAnsi"/>
          <w:sz w:val="22"/>
          <w:szCs w:val="22"/>
        </w:rPr>
        <w:t xml:space="preserve">decision-making and engagement strategies. </w:t>
      </w:r>
    </w:p>
    <w:p w14:paraId="49DF8A5A" w14:textId="1FCB80C7" w:rsidR="00053937" w:rsidRDefault="00053937" w:rsidP="000E2062">
      <w:pPr>
        <w:pStyle w:val="ListParagraph"/>
        <w:ind w:left="0"/>
        <w:rPr>
          <w:rFonts w:cstheme="minorHAnsi"/>
          <w:sz w:val="22"/>
          <w:szCs w:val="22"/>
        </w:rPr>
      </w:pPr>
    </w:p>
    <w:p w14:paraId="020BD56B" w14:textId="5B2E8D2B" w:rsidR="00053937" w:rsidRPr="009569AB" w:rsidRDefault="00053937" w:rsidP="009310BD">
      <w:pPr>
        <w:pStyle w:val="ListParagraph"/>
        <w:numPr>
          <w:ilvl w:val="0"/>
          <w:numId w:val="19"/>
        </w:numPr>
        <w:spacing w:line="276" w:lineRule="auto"/>
        <w:rPr>
          <w:rFonts w:cstheme="minorHAnsi"/>
          <w:sz w:val="22"/>
          <w:szCs w:val="22"/>
        </w:rPr>
      </w:pPr>
      <w:r>
        <w:rPr>
          <w:rFonts w:cstheme="minorHAnsi"/>
          <w:b/>
          <w:sz w:val="22"/>
          <w:szCs w:val="22"/>
        </w:rPr>
        <w:t xml:space="preserve">This approach would build on </w:t>
      </w:r>
      <w:r w:rsidR="00AB63C5">
        <w:rPr>
          <w:rFonts w:cstheme="minorHAnsi"/>
          <w:b/>
          <w:sz w:val="22"/>
          <w:szCs w:val="22"/>
        </w:rPr>
        <w:t>the ISSB’s</w:t>
      </w:r>
      <w:r>
        <w:rPr>
          <w:rFonts w:cstheme="minorHAnsi"/>
          <w:b/>
          <w:sz w:val="22"/>
          <w:szCs w:val="22"/>
        </w:rPr>
        <w:t xml:space="preserve"> existing </w:t>
      </w:r>
      <w:r w:rsidR="00AB63C5">
        <w:rPr>
          <w:rFonts w:cstheme="minorHAnsi"/>
          <w:b/>
          <w:sz w:val="22"/>
          <w:szCs w:val="22"/>
        </w:rPr>
        <w:t xml:space="preserve">guidance </w:t>
      </w:r>
      <w:r>
        <w:rPr>
          <w:rFonts w:cstheme="minorHAnsi"/>
          <w:b/>
          <w:sz w:val="22"/>
          <w:szCs w:val="22"/>
        </w:rPr>
        <w:t>documents and support interoperability with other sustainability reporting standards. It would resolve the tensions identified by the ISSB in its current proposals regarding human capital and human rights.</w:t>
      </w:r>
    </w:p>
    <w:p w14:paraId="500FF137" w14:textId="77777777" w:rsidR="00014AD4" w:rsidRDefault="00014AD4" w:rsidP="000E2062">
      <w:pPr>
        <w:pStyle w:val="ListParagraph"/>
        <w:ind w:left="0"/>
        <w:rPr>
          <w:rFonts w:cstheme="minorHAnsi"/>
          <w:b/>
          <w:sz w:val="22"/>
          <w:szCs w:val="22"/>
        </w:rPr>
      </w:pPr>
    </w:p>
    <w:p w14:paraId="63FFD875" w14:textId="70EAA4A7" w:rsidR="00AB63C5" w:rsidRDefault="00053937" w:rsidP="009310BD">
      <w:pPr>
        <w:pStyle w:val="ListParagraph"/>
        <w:numPr>
          <w:ilvl w:val="0"/>
          <w:numId w:val="20"/>
        </w:numPr>
        <w:rPr>
          <w:rFonts w:cstheme="minorHAnsi"/>
          <w:sz w:val="22"/>
          <w:szCs w:val="22"/>
        </w:rPr>
      </w:pPr>
      <w:r>
        <w:rPr>
          <w:rFonts w:cstheme="minorHAnsi"/>
          <w:sz w:val="22"/>
          <w:szCs w:val="22"/>
        </w:rPr>
        <w:t xml:space="preserve">The </w:t>
      </w:r>
      <w:r w:rsidR="00381F1E" w:rsidRPr="00540DA1">
        <w:rPr>
          <w:rFonts w:cstheme="minorHAnsi"/>
          <w:sz w:val="22"/>
          <w:szCs w:val="22"/>
        </w:rPr>
        <w:t>CDSB’s Framework for Reporting Environmental and Social Information</w:t>
      </w:r>
      <w:r w:rsidR="00C90168">
        <w:rPr>
          <w:rFonts w:cstheme="minorHAnsi"/>
          <w:sz w:val="22"/>
          <w:szCs w:val="22"/>
        </w:rPr>
        <w:t xml:space="preserve"> – a foundational document of the ISSB –</w:t>
      </w:r>
      <w:r w:rsidR="00381F1E" w:rsidRPr="00540DA1">
        <w:rPr>
          <w:rFonts w:cstheme="minorHAnsi"/>
          <w:sz w:val="22"/>
          <w:szCs w:val="22"/>
        </w:rPr>
        <w:t xml:space="preserve"> </w:t>
      </w:r>
      <w:r w:rsidR="007B26DD">
        <w:rPr>
          <w:rFonts w:cstheme="minorHAnsi"/>
          <w:sz w:val="22"/>
          <w:szCs w:val="22"/>
        </w:rPr>
        <w:t xml:space="preserve">already </w:t>
      </w:r>
      <w:r w:rsidR="000B51E8">
        <w:rPr>
          <w:rFonts w:cstheme="minorHAnsi"/>
          <w:sz w:val="22"/>
          <w:szCs w:val="22"/>
        </w:rPr>
        <w:t>points to</w:t>
      </w:r>
      <w:r w:rsidR="00381F1E" w:rsidRPr="00540DA1">
        <w:rPr>
          <w:rFonts w:cstheme="minorHAnsi"/>
          <w:sz w:val="22"/>
          <w:szCs w:val="22"/>
        </w:rPr>
        <w:t xml:space="preserve"> </w:t>
      </w:r>
      <w:r>
        <w:rPr>
          <w:rFonts w:cstheme="minorHAnsi"/>
          <w:sz w:val="22"/>
          <w:szCs w:val="22"/>
        </w:rPr>
        <w:t>a number of key</w:t>
      </w:r>
      <w:r w:rsidR="00381F1E" w:rsidRPr="00540DA1">
        <w:rPr>
          <w:rFonts w:cstheme="minorHAnsi"/>
          <w:sz w:val="22"/>
          <w:szCs w:val="22"/>
        </w:rPr>
        <w:t xml:space="preserve"> </w:t>
      </w:r>
      <w:r w:rsidR="00B57897">
        <w:rPr>
          <w:rFonts w:cstheme="minorHAnsi"/>
          <w:sz w:val="22"/>
          <w:szCs w:val="22"/>
        </w:rPr>
        <w:t>elements</w:t>
      </w:r>
      <w:r w:rsidR="00381F1E" w:rsidRPr="00540DA1">
        <w:rPr>
          <w:rFonts w:cstheme="minorHAnsi"/>
          <w:sz w:val="22"/>
          <w:szCs w:val="22"/>
        </w:rPr>
        <w:t xml:space="preserve"> for </w:t>
      </w:r>
      <w:r>
        <w:rPr>
          <w:rFonts w:cstheme="minorHAnsi"/>
          <w:sz w:val="22"/>
          <w:szCs w:val="22"/>
        </w:rPr>
        <w:t xml:space="preserve">a thematic standard on social-related financial disclosures. </w:t>
      </w:r>
    </w:p>
    <w:p w14:paraId="0907B11D" w14:textId="77777777" w:rsidR="00AB63C5" w:rsidRDefault="00AB63C5" w:rsidP="002E317E">
      <w:pPr>
        <w:pStyle w:val="ListParagraph"/>
        <w:ind w:left="0"/>
        <w:rPr>
          <w:rFonts w:cstheme="minorHAnsi"/>
          <w:sz w:val="22"/>
          <w:szCs w:val="22"/>
        </w:rPr>
      </w:pPr>
    </w:p>
    <w:p w14:paraId="34091E81" w14:textId="662E4278" w:rsidR="00D56AFC" w:rsidRDefault="00AB63C5" w:rsidP="009310BD">
      <w:pPr>
        <w:pStyle w:val="ListParagraph"/>
        <w:numPr>
          <w:ilvl w:val="0"/>
          <w:numId w:val="20"/>
        </w:numPr>
        <w:rPr>
          <w:rFonts w:ascii="Times New Roman" w:eastAsia="Times New Roman" w:hAnsi="Times New Roman" w:cs="Times New Roman"/>
        </w:rPr>
      </w:pPr>
      <w:r>
        <w:rPr>
          <w:rFonts w:cstheme="minorHAnsi"/>
          <w:sz w:val="22"/>
          <w:szCs w:val="22"/>
        </w:rPr>
        <w:t>While the ISSB paper suggests that the CDSB Framework “centers on the human rights of groups of people in an organi</w:t>
      </w:r>
      <w:r w:rsidR="00D13C04">
        <w:rPr>
          <w:rFonts w:cstheme="minorHAnsi"/>
          <w:sz w:val="22"/>
          <w:szCs w:val="22"/>
        </w:rPr>
        <w:t>z</w:t>
      </w:r>
      <w:r>
        <w:rPr>
          <w:rFonts w:cstheme="minorHAnsi"/>
          <w:sz w:val="22"/>
          <w:szCs w:val="22"/>
        </w:rPr>
        <w:t>ation’s value chain</w:t>
      </w:r>
      <w:r w:rsidR="002808ED">
        <w:rPr>
          <w:rFonts w:cstheme="minorHAnsi"/>
          <w:sz w:val="22"/>
          <w:szCs w:val="22"/>
        </w:rPr>
        <w:t>”</w:t>
      </w:r>
      <w:r>
        <w:rPr>
          <w:rFonts w:cstheme="minorHAnsi"/>
          <w:sz w:val="22"/>
          <w:szCs w:val="22"/>
        </w:rPr>
        <w:t xml:space="preserve">, it in fact provides a complete </w:t>
      </w:r>
      <w:r w:rsidR="00053937">
        <w:rPr>
          <w:rFonts w:cstheme="minorHAnsi"/>
          <w:sz w:val="22"/>
          <w:szCs w:val="22"/>
        </w:rPr>
        <w:t>architecture</w:t>
      </w:r>
      <w:r>
        <w:rPr>
          <w:rFonts w:cstheme="minorHAnsi"/>
          <w:sz w:val="22"/>
          <w:szCs w:val="22"/>
        </w:rPr>
        <w:t xml:space="preserve"> across</w:t>
      </w:r>
      <w:r w:rsidR="007B26DD">
        <w:rPr>
          <w:rFonts w:cstheme="minorHAnsi"/>
          <w:sz w:val="22"/>
          <w:szCs w:val="22"/>
        </w:rPr>
        <w:t xml:space="preserve"> </w:t>
      </w:r>
      <w:r w:rsidR="002808ED">
        <w:rPr>
          <w:rFonts w:cstheme="minorHAnsi"/>
          <w:sz w:val="22"/>
          <w:szCs w:val="22"/>
        </w:rPr>
        <w:t xml:space="preserve">the </w:t>
      </w:r>
      <w:r w:rsidR="007B26DD">
        <w:rPr>
          <w:rFonts w:cstheme="minorHAnsi"/>
          <w:sz w:val="22"/>
          <w:szCs w:val="22"/>
        </w:rPr>
        <w:t>four categories of people</w:t>
      </w:r>
      <w:r w:rsidR="00C90168">
        <w:rPr>
          <w:rFonts w:cstheme="minorHAnsi"/>
          <w:sz w:val="22"/>
          <w:szCs w:val="22"/>
        </w:rPr>
        <w:t xml:space="preserve"> that </w:t>
      </w:r>
      <w:r>
        <w:rPr>
          <w:rFonts w:cstheme="minorHAnsi"/>
          <w:sz w:val="22"/>
          <w:szCs w:val="22"/>
        </w:rPr>
        <w:t xml:space="preserve">entities </w:t>
      </w:r>
      <w:r w:rsidR="00C90168">
        <w:rPr>
          <w:rFonts w:cstheme="minorHAnsi"/>
          <w:sz w:val="22"/>
          <w:szCs w:val="22"/>
        </w:rPr>
        <w:t>may impact or depend upon</w:t>
      </w:r>
      <w:r w:rsidR="002808ED">
        <w:rPr>
          <w:rFonts w:cstheme="minorHAnsi"/>
          <w:sz w:val="22"/>
          <w:szCs w:val="22"/>
        </w:rPr>
        <w:t xml:space="preserve"> in their operations and value chains</w:t>
      </w:r>
      <w:r w:rsidR="007B26DD">
        <w:rPr>
          <w:rFonts w:cstheme="minorHAnsi"/>
          <w:sz w:val="22"/>
          <w:szCs w:val="22"/>
        </w:rPr>
        <w:t xml:space="preserve">: </w:t>
      </w:r>
      <w:r w:rsidR="00F2490D">
        <w:rPr>
          <w:rFonts w:cstheme="minorHAnsi"/>
          <w:sz w:val="22"/>
          <w:szCs w:val="22"/>
        </w:rPr>
        <w:t>their</w:t>
      </w:r>
      <w:r w:rsidR="00F2490D" w:rsidRPr="00540DA1">
        <w:rPr>
          <w:rFonts w:cstheme="minorHAnsi"/>
          <w:sz w:val="22"/>
          <w:szCs w:val="22"/>
        </w:rPr>
        <w:t xml:space="preserve"> </w:t>
      </w:r>
      <w:r w:rsidR="00381F1E" w:rsidRPr="00540DA1">
        <w:rPr>
          <w:rFonts w:cstheme="minorHAnsi"/>
          <w:sz w:val="22"/>
          <w:szCs w:val="22"/>
        </w:rPr>
        <w:t>workforce, value chain workers, affected communities, and consumers and end-</w:t>
      </w:r>
      <w:r w:rsidR="00381F1E" w:rsidRPr="0070337D">
        <w:rPr>
          <w:rFonts w:cstheme="minorHAnsi"/>
          <w:sz w:val="22"/>
          <w:szCs w:val="22"/>
        </w:rPr>
        <w:t>users</w:t>
      </w:r>
      <w:r w:rsidR="00F2490D" w:rsidRPr="0070337D">
        <w:rPr>
          <w:rFonts w:cstheme="minorHAnsi"/>
          <w:sz w:val="22"/>
          <w:szCs w:val="22"/>
        </w:rPr>
        <w:t>. The Framework</w:t>
      </w:r>
      <w:r w:rsidR="00942A06" w:rsidRPr="0070337D">
        <w:rPr>
          <w:rFonts w:cstheme="minorHAnsi"/>
          <w:sz w:val="22"/>
          <w:szCs w:val="22"/>
        </w:rPr>
        <w:t xml:space="preserve"> points to </w:t>
      </w:r>
      <w:r w:rsidR="0070337D" w:rsidRPr="009310BD">
        <w:rPr>
          <w:rFonts w:cstheme="minorHAnsi"/>
          <w:sz w:val="22"/>
          <w:szCs w:val="22"/>
        </w:rPr>
        <w:t xml:space="preserve">some of the ways in which </w:t>
      </w:r>
      <w:r w:rsidR="00942A06" w:rsidRPr="0070337D">
        <w:rPr>
          <w:rFonts w:cstheme="minorHAnsi"/>
          <w:sz w:val="22"/>
          <w:szCs w:val="22"/>
        </w:rPr>
        <w:t xml:space="preserve">risks and opportunities </w:t>
      </w:r>
      <w:r w:rsidR="0070337D" w:rsidRPr="009310BD">
        <w:rPr>
          <w:rFonts w:cstheme="minorHAnsi"/>
          <w:sz w:val="22"/>
          <w:szCs w:val="22"/>
        </w:rPr>
        <w:t>can</w:t>
      </w:r>
      <w:r w:rsidR="0070337D" w:rsidRPr="0070337D">
        <w:rPr>
          <w:rFonts w:cstheme="minorHAnsi"/>
          <w:sz w:val="22"/>
          <w:szCs w:val="22"/>
        </w:rPr>
        <w:t xml:space="preserve"> </w:t>
      </w:r>
      <w:r w:rsidR="00942A06" w:rsidRPr="0070337D">
        <w:rPr>
          <w:rFonts w:cstheme="minorHAnsi"/>
          <w:sz w:val="22"/>
          <w:szCs w:val="22"/>
        </w:rPr>
        <w:t>result from impacts and dependencies on these groups.</w:t>
      </w:r>
      <w:r w:rsidR="007542D9" w:rsidRPr="0070337D">
        <w:rPr>
          <w:rStyle w:val="EndnoteReference"/>
          <w:rFonts w:cstheme="minorHAnsi"/>
          <w:sz w:val="22"/>
          <w:szCs w:val="22"/>
        </w:rPr>
        <w:endnoteReference w:id="8"/>
      </w:r>
      <w:r w:rsidR="007542D9" w:rsidRPr="007B26DD">
        <w:rPr>
          <w:rFonts w:ascii="Times New Roman" w:eastAsia="Times New Roman" w:hAnsi="Times New Roman" w:cs="Times New Roman"/>
        </w:rPr>
        <w:t xml:space="preserve"> </w:t>
      </w:r>
    </w:p>
    <w:p w14:paraId="30D93EA8" w14:textId="77777777" w:rsidR="00D56AFC" w:rsidRDefault="00D56AFC" w:rsidP="002E317E">
      <w:pPr>
        <w:pStyle w:val="ListParagraph"/>
        <w:ind w:left="0"/>
        <w:rPr>
          <w:rFonts w:cstheme="minorHAnsi"/>
          <w:sz w:val="22"/>
          <w:szCs w:val="22"/>
        </w:rPr>
      </w:pPr>
    </w:p>
    <w:p w14:paraId="3DE8BEF1" w14:textId="43C92CCD" w:rsidR="00514CBA" w:rsidRPr="00D13C04" w:rsidRDefault="007768B9" w:rsidP="00D13C04">
      <w:pPr>
        <w:pStyle w:val="ListParagraph"/>
        <w:numPr>
          <w:ilvl w:val="0"/>
          <w:numId w:val="20"/>
        </w:numPr>
        <w:rPr>
          <w:rFonts w:cstheme="minorHAnsi"/>
          <w:sz w:val="22"/>
          <w:szCs w:val="22"/>
        </w:rPr>
      </w:pPr>
      <w:r w:rsidRPr="007768B9">
        <w:rPr>
          <w:rFonts w:cstheme="minorHAnsi"/>
          <w:sz w:val="22"/>
          <w:szCs w:val="22"/>
        </w:rPr>
        <w:t xml:space="preserve">These same four categories are </w:t>
      </w:r>
      <w:r w:rsidR="00394C91">
        <w:rPr>
          <w:rFonts w:cstheme="minorHAnsi"/>
          <w:sz w:val="22"/>
          <w:szCs w:val="22"/>
        </w:rPr>
        <w:t>also the basis for</w:t>
      </w:r>
      <w:r w:rsidRPr="007768B9">
        <w:rPr>
          <w:rFonts w:cstheme="minorHAnsi"/>
          <w:sz w:val="22"/>
          <w:szCs w:val="22"/>
        </w:rPr>
        <w:t xml:space="preserve"> the </w:t>
      </w:r>
      <w:r w:rsidR="002808ED">
        <w:rPr>
          <w:rFonts w:cstheme="minorHAnsi"/>
          <w:sz w:val="22"/>
          <w:szCs w:val="22"/>
        </w:rPr>
        <w:t xml:space="preserve">four </w:t>
      </w:r>
      <w:r w:rsidRPr="007768B9">
        <w:rPr>
          <w:rFonts w:cstheme="minorHAnsi"/>
          <w:sz w:val="22"/>
          <w:szCs w:val="22"/>
        </w:rPr>
        <w:t xml:space="preserve">EFRAG social standards, </w:t>
      </w:r>
      <w:r w:rsidR="00F2490D">
        <w:rPr>
          <w:rFonts w:cstheme="minorHAnsi"/>
          <w:sz w:val="22"/>
          <w:szCs w:val="22"/>
        </w:rPr>
        <w:t>which similarly cover an entity’s own workforce, value chain workers, affected communities</w:t>
      </w:r>
      <w:r w:rsidR="002808ED">
        <w:rPr>
          <w:rFonts w:cstheme="minorHAnsi"/>
          <w:sz w:val="22"/>
          <w:szCs w:val="22"/>
        </w:rPr>
        <w:t>,</w:t>
      </w:r>
      <w:r w:rsidR="00F2490D">
        <w:rPr>
          <w:rFonts w:cstheme="minorHAnsi"/>
          <w:sz w:val="22"/>
          <w:szCs w:val="22"/>
        </w:rPr>
        <w:t xml:space="preserve"> and consumers and end-users</w:t>
      </w:r>
      <w:r w:rsidR="00D56AFC">
        <w:rPr>
          <w:rFonts w:cstheme="minorHAnsi"/>
          <w:sz w:val="22"/>
          <w:szCs w:val="22"/>
        </w:rPr>
        <w:t xml:space="preserve">. </w:t>
      </w:r>
      <w:r w:rsidR="00F2490D" w:rsidRPr="00D13C04">
        <w:rPr>
          <w:rFonts w:cstheme="minorHAnsi"/>
          <w:sz w:val="22"/>
          <w:szCs w:val="22"/>
        </w:rPr>
        <w:t>By developing a thematic social-related standard that reflects the same architecture, the ISSB</w:t>
      </w:r>
      <w:r w:rsidR="00053937" w:rsidRPr="00D13C04">
        <w:rPr>
          <w:rFonts w:cstheme="minorHAnsi"/>
          <w:sz w:val="22"/>
          <w:szCs w:val="22"/>
        </w:rPr>
        <w:t xml:space="preserve"> </w:t>
      </w:r>
      <w:r w:rsidR="00F2490D" w:rsidRPr="00D13C04">
        <w:rPr>
          <w:rFonts w:cstheme="minorHAnsi"/>
          <w:sz w:val="22"/>
          <w:szCs w:val="22"/>
        </w:rPr>
        <w:t xml:space="preserve">can seize a valuable </w:t>
      </w:r>
      <w:r w:rsidR="00053937" w:rsidRPr="00D13C04">
        <w:rPr>
          <w:rFonts w:cstheme="minorHAnsi"/>
          <w:sz w:val="22"/>
          <w:szCs w:val="22"/>
        </w:rPr>
        <w:t>opportunity for convergence</w:t>
      </w:r>
      <w:r w:rsidR="00F2490D" w:rsidRPr="00D13C04">
        <w:rPr>
          <w:rFonts w:cstheme="minorHAnsi"/>
          <w:sz w:val="22"/>
          <w:szCs w:val="22"/>
        </w:rPr>
        <w:t xml:space="preserve"> and inter-operability</w:t>
      </w:r>
      <w:r w:rsidR="00053937" w:rsidRPr="00D13C04">
        <w:rPr>
          <w:rFonts w:cstheme="minorHAnsi"/>
          <w:sz w:val="22"/>
          <w:szCs w:val="22"/>
        </w:rPr>
        <w:t xml:space="preserve"> in the sustainability reporting field.</w:t>
      </w:r>
      <w:r w:rsidR="000B51E8" w:rsidRPr="00D13C04">
        <w:rPr>
          <w:rFonts w:cstheme="minorHAnsi"/>
          <w:sz w:val="22"/>
          <w:szCs w:val="22"/>
        </w:rPr>
        <w:t xml:space="preserve"> </w:t>
      </w:r>
    </w:p>
    <w:p w14:paraId="24F20BEE" w14:textId="77777777" w:rsidR="00514CBA" w:rsidRPr="00514CBA" w:rsidRDefault="00514CBA" w:rsidP="00514CBA">
      <w:pPr>
        <w:pStyle w:val="ListParagraph"/>
        <w:rPr>
          <w:rFonts w:cstheme="minorHAnsi"/>
          <w:sz w:val="22"/>
          <w:szCs w:val="22"/>
        </w:rPr>
      </w:pPr>
    </w:p>
    <w:p w14:paraId="6C7BC352" w14:textId="025D06CF" w:rsidR="007542D9" w:rsidRDefault="00514CBA" w:rsidP="009310BD">
      <w:pPr>
        <w:pStyle w:val="ListParagraph"/>
        <w:numPr>
          <w:ilvl w:val="0"/>
          <w:numId w:val="20"/>
        </w:numPr>
        <w:rPr>
          <w:rFonts w:cstheme="minorHAnsi"/>
          <w:sz w:val="22"/>
          <w:szCs w:val="22"/>
        </w:rPr>
      </w:pPr>
      <w:r>
        <w:rPr>
          <w:rFonts w:cstheme="minorHAnsi"/>
          <w:sz w:val="22"/>
          <w:szCs w:val="22"/>
        </w:rPr>
        <w:t>This approach would also</w:t>
      </w:r>
      <w:r w:rsidR="000B51E8">
        <w:rPr>
          <w:rFonts w:cstheme="minorHAnsi"/>
          <w:sz w:val="22"/>
          <w:szCs w:val="22"/>
        </w:rPr>
        <w:t xml:space="preserve"> avoid the challenges </w:t>
      </w:r>
      <w:r>
        <w:rPr>
          <w:rFonts w:cstheme="minorHAnsi"/>
          <w:sz w:val="22"/>
          <w:szCs w:val="22"/>
        </w:rPr>
        <w:t>that ISSB</w:t>
      </w:r>
      <w:r w:rsidR="000B51E8">
        <w:rPr>
          <w:rFonts w:cstheme="minorHAnsi"/>
          <w:sz w:val="22"/>
          <w:szCs w:val="22"/>
        </w:rPr>
        <w:t xml:space="preserve"> highlights with regard to its current proposal to </w:t>
      </w:r>
      <w:r>
        <w:rPr>
          <w:rFonts w:cstheme="minorHAnsi"/>
          <w:sz w:val="22"/>
          <w:szCs w:val="22"/>
        </w:rPr>
        <w:t xml:space="preserve">categorize standards by ‘human capital’ and ‘human rights’ – </w:t>
      </w:r>
      <w:r w:rsidR="00394C91">
        <w:rPr>
          <w:rFonts w:cstheme="minorHAnsi"/>
          <w:sz w:val="22"/>
          <w:szCs w:val="22"/>
        </w:rPr>
        <w:t>not least</w:t>
      </w:r>
      <w:r>
        <w:rPr>
          <w:rFonts w:cstheme="minorHAnsi"/>
          <w:sz w:val="22"/>
          <w:szCs w:val="22"/>
        </w:rPr>
        <w:t xml:space="preserve"> the difficulty of identifying boundaries between the two.</w:t>
      </w:r>
    </w:p>
    <w:p w14:paraId="5F476C72" w14:textId="52183657" w:rsidR="00053937" w:rsidRDefault="00053937" w:rsidP="002E317E">
      <w:pPr>
        <w:pStyle w:val="ListParagraph"/>
        <w:ind w:left="0"/>
        <w:rPr>
          <w:rFonts w:cstheme="minorHAnsi"/>
          <w:sz w:val="22"/>
          <w:szCs w:val="22"/>
        </w:rPr>
      </w:pPr>
    </w:p>
    <w:p w14:paraId="2F75C9C8" w14:textId="094AAC0C" w:rsidR="00543438" w:rsidRPr="009310BD" w:rsidRDefault="00D56AFC" w:rsidP="009310BD">
      <w:pPr>
        <w:pStyle w:val="ListParagraph"/>
        <w:numPr>
          <w:ilvl w:val="0"/>
          <w:numId w:val="19"/>
        </w:numPr>
        <w:rPr>
          <w:rFonts w:cstheme="minorHAnsi"/>
          <w:b/>
          <w:sz w:val="22"/>
          <w:szCs w:val="22"/>
        </w:rPr>
      </w:pPr>
      <w:r w:rsidRPr="009310BD">
        <w:rPr>
          <w:rFonts w:cstheme="minorHAnsi"/>
          <w:b/>
          <w:sz w:val="22"/>
          <w:szCs w:val="22"/>
        </w:rPr>
        <w:t xml:space="preserve">A thematic standard on social-related financial disclosures need not delay disclosures </w:t>
      </w:r>
      <w:r w:rsidR="00543438" w:rsidRPr="009310BD">
        <w:rPr>
          <w:rFonts w:cstheme="minorHAnsi"/>
          <w:b/>
          <w:sz w:val="22"/>
          <w:szCs w:val="22"/>
        </w:rPr>
        <w:t xml:space="preserve">on workforce related disclosures, </w:t>
      </w:r>
      <w:r w:rsidR="005747AD">
        <w:rPr>
          <w:rFonts w:cstheme="minorHAnsi"/>
          <w:b/>
          <w:sz w:val="22"/>
          <w:szCs w:val="22"/>
        </w:rPr>
        <w:t>including some of those proposed</w:t>
      </w:r>
      <w:r w:rsidR="00401B9D">
        <w:rPr>
          <w:rFonts w:cstheme="minorHAnsi"/>
          <w:b/>
          <w:sz w:val="22"/>
          <w:szCs w:val="22"/>
        </w:rPr>
        <w:t xml:space="preserve"> for a</w:t>
      </w:r>
      <w:r w:rsidR="00543438" w:rsidRPr="009310BD">
        <w:rPr>
          <w:rFonts w:cstheme="minorHAnsi"/>
          <w:b/>
          <w:sz w:val="22"/>
          <w:szCs w:val="22"/>
        </w:rPr>
        <w:t xml:space="preserve"> human capital standard. </w:t>
      </w:r>
    </w:p>
    <w:p w14:paraId="01E2B588" w14:textId="715ADC40" w:rsidR="00543438" w:rsidRDefault="00543438" w:rsidP="00D56AFC">
      <w:pPr>
        <w:pStyle w:val="ListParagraph"/>
        <w:ind w:left="0"/>
        <w:rPr>
          <w:rFonts w:cstheme="minorHAnsi"/>
          <w:sz w:val="22"/>
          <w:szCs w:val="22"/>
        </w:rPr>
      </w:pPr>
    </w:p>
    <w:p w14:paraId="27E3783A" w14:textId="59031B7D" w:rsidR="00514CBA" w:rsidRDefault="00543438" w:rsidP="00B61F4A">
      <w:pPr>
        <w:pStyle w:val="ListParagraph"/>
        <w:numPr>
          <w:ilvl w:val="0"/>
          <w:numId w:val="33"/>
        </w:numPr>
        <w:ind w:left="720"/>
        <w:rPr>
          <w:rFonts w:cstheme="minorHAnsi"/>
          <w:sz w:val="22"/>
          <w:szCs w:val="22"/>
        </w:rPr>
      </w:pPr>
      <w:r>
        <w:rPr>
          <w:rFonts w:cstheme="minorHAnsi"/>
          <w:sz w:val="22"/>
          <w:szCs w:val="22"/>
        </w:rPr>
        <w:t xml:space="preserve">The development of a thematic </w:t>
      </w:r>
      <w:r w:rsidR="002808ED">
        <w:rPr>
          <w:rFonts w:cstheme="minorHAnsi"/>
          <w:sz w:val="22"/>
          <w:szCs w:val="22"/>
        </w:rPr>
        <w:t>standard</w:t>
      </w:r>
      <w:r>
        <w:rPr>
          <w:rFonts w:cstheme="minorHAnsi"/>
          <w:sz w:val="22"/>
          <w:szCs w:val="22"/>
        </w:rPr>
        <w:t xml:space="preserve"> on social-related </w:t>
      </w:r>
      <w:r w:rsidR="002808ED">
        <w:rPr>
          <w:rFonts w:cstheme="minorHAnsi"/>
          <w:sz w:val="22"/>
          <w:szCs w:val="22"/>
        </w:rPr>
        <w:t>financial disclosures</w:t>
      </w:r>
      <w:r>
        <w:rPr>
          <w:rFonts w:cstheme="minorHAnsi"/>
          <w:sz w:val="22"/>
          <w:szCs w:val="22"/>
        </w:rPr>
        <w:t xml:space="preserve"> is </w:t>
      </w:r>
      <w:r w:rsidR="00053937">
        <w:rPr>
          <w:rFonts w:cstheme="minorHAnsi"/>
          <w:sz w:val="22"/>
          <w:szCs w:val="22"/>
        </w:rPr>
        <w:t>no</w:t>
      </w:r>
      <w:r>
        <w:rPr>
          <w:rFonts w:cstheme="minorHAnsi"/>
          <w:sz w:val="22"/>
          <w:szCs w:val="22"/>
        </w:rPr>
        <w:t xml:space="preserve"> larger an undertaking than the other proposals in the ISSB’</w:t>
      </w:r>
      <w:r w:rsidR="00053937">
        <w:rPr>
          <w:rFonts w:cstheme="minorHAnsi"/>
          <w:sz w:val="22"/>
          <w:szCs w:val="22"/>
        </w:rPr>
        <w:t>s</w:t>
      </w:r>
      <w:r>
        <w:rPr>
          <w:rFonts w:cstheme="minorHAnsi"/>
          <w:sz w:val="22"/>
          <w:szCs w:val="22"/>
        </w:rPr>
        <w:t xml:space="preserve"> </w:t>
      </w:r>
      <w:r w:rsidR="00053937">
        <w:rPr>
          <w:rFonts w:cstheme="minorHAnsi"/>
          <w:sz w:val="22"/>
          <w:szCs w:val="22"/>
        </w:rPr>
        <w:t>draft agenda priorities</w:t>
      </w:r>
      <w:r w:rsidR="00514CBA">
        <w:rPr>
          <w:rFonts w:cstheme="minorHAnsi"/>
          <w:sz w:val="22"/>
          <w:szCs w:val="22"/>
        </w:rPr>
        <w:t>: it would be a broad standard, rather than a highly granular one</w:t>
      </w:r>
      <w:r>
        <w:rPr>
          <w:rFonts w:cstheme="minorHAnsi"/>
          <w:sz w:val="22"/>
          <w:szCs w:val="22"/>
        </w:rPr>
        <w:t xml:space="preserve">. </w:t>
      </w:r>
    </w:p>
    <w:p w14:paraId="6982C66C" w14:textId="77777777" w:rsidR="00514CBA" w:rsidRDefault="00514CBA" w:rsidP="00B61F4A">
      <w:pPr>
        <w:pStyle w:val="ListParagraph"/>
        <w:rPr>
          <w:rFonts w:cstheme="minorHAnsi"/>
          <w:sz w:val="22"/>
          <w:szCs w:val="22"/>
        </w:rPr>
      </w:pPr>
    </w:p>
    <w:p w14:paraId="0ED18DAE" w14:textId="012EAB44" w:rsidR="00543438" w:rsidRDefault="00394C91" w:rsidP="00B61F4A">
      <w:pPr>
        <w:pStyle w:val="ListParagraph"/>
        <w:numPr>
          <w:ilvl w:val="0"/>
          <w:numId w:val="33"/>
        </w:numPr>
        <w:ind w:left="720"/>
        <w:rPr>
          <w:rFonts w:cstheme="minorHAnsi"/>
          <w:sz w:val="22"/>
          <w:szCs w:val="22"/>
        </w:rPr>
      </w:pPr>
      <w:r>
        <w:rPr>
          <w:rFonts w:cstheme="minorHAnsi"/>
          <w:sz w:val="22"/>
          <w:szCs w:val="22"/>
        </w:rPr>
        <w:t>M</w:t>
      </w:r>
      <w:r w:rsidR="00543438">
        <w:rPr>
          <w:rFonts w:cstheme="minorHAnsi"/>
          <w:sz w:val="22"/>
          <w:szCs w:val="22"/>
        </w:rPr>
        <w:t xml:space="preserve">any of the essential elements </w:t>
      </w:r>
      <w:r w:rsidR="00514CBA">
        <w:rPr>
          <w:rFonts w:cstheme="minorHAnsi"/>
          <w:sz w:val="22"/>
          <w:szCs w:val="22"/>
        </w:rPr>
        <w:t xml:space="preserve">for such a standard </w:t>
      </w:r>
      <w:r w:rsidR="00543438">
        <w:rPr>
          <w:rFonts w:cstheme="minorHAnsi"/>
          <w:sz w:val="22"/>
          <w:szCs w:val="22"/>
        </w:rPr>
        <w:t xml:space="preserve">are </w:t>
      </w:r>
      <w:r w:rsidR="00514CBA">
        <w:rPr>
          <w:rFonts w:cstheme="minorHAnsi"/>
          <w:sz w:val="22"/>
          <w:szCs w:val="22"/>
        </w:rPr>
        <w:t xml:space="preserve">already </w:t>
      </w:r>
      <w:r w:rsidR="00543438">
        <w:rPr>
          <w:rFonts w:cstheme="minorHAnsi"/>
          <w:sz w:val="22"/>
          <w:szCs w:val="22"/>
        </w:rPr>
        <w:t xml:space="preserve">well-known </w:t>
      </w:r>
      <w:r>
        <w:rPr>
          <w:rFonts w:cstheme="minorHAnsi"/>
          <w:sz w:val="22"/>
          <w:szCs w:val="22"/>
        </w:rPr>
        <w:t xml:space="preserve">given the existing international standards on human rights due diligence and </w:t>
      </w:r>
      <w:r w:rsidR="00543438">
        <w:rPr>
          <w:rFonts w:cstheme="minorHAnsi"/>
          <w:sz w:val="22"/>
          <w:szCs w:val="22"/>
        </w:rPr>
        <w:t xml:space="preserve">the growth in legislation as well as </w:t>
      </w:r>
      <w:r w:rsidR="00A3644F">
        <w:rPr>
          <w:rFonts w:cstheme="minorHAnsi"/>
          <w:sz w:val="22"/>
          <w:szCs w:val="22"/>
        </w:rPr>
        <w:t xml:space="preserve">industry-led, cross-industry and investor-based principles and initiatives </w:t>
      </w:r>
      <w:r w:rsidR="00543438">
        <w:rPr>
          <w:rFonts w:cstheme="minorHAnsi"/>
          <w:sz w:val="22"/>
          <w:szCs w:val="22"/>
        </w:rPr>
        <w:t xml:space="preserve">founded on </w:t>
      </w:r>
      <w:r>
        <w:rPr>
          <w:rFonts w:cstheme="minorHAnsi"/>
          <w:sz w:val="22"/>
          <w:szCs w:val="22"/>
        </w:rPr>
        <w:t>these standards</w:t>
      </w:r>
      <w:r w:rsidR="00543438">
        <w:rPr>
          <w:rFonts w:cstheme="minorHAnsi"/>
          <w:sz w:val="22"/>
          <w:szCs w:val="22"/>
        </w:rPr>
        <w:t>.</w:t>
      </w:r>
      <w:r w:rsidR="002808ED">
        <w:rPr>
          <w:rFonts w:cstheme="minorHAnsi"/>
          <w:sz w:val="22"/>
          <w:szCs w:val="22"/>
        </w:rPr>
        <w:t xml:space="preserve"> </w:t>
      </w:r>
    </w:p>
    <w:p w14:paraId="14691FD8" w14:textId="1FF76009" w:rsidR="00A3644F" w:rsidRDefault="00A3644F" w:rsidP="00B61F4A">
      <w:pPr>
        <w:pStyle w:val="ListParagraph"/>
        <w:ind w:left="360"/>
        <w:rPr>
          <w:rFonts w:cstheme="minorHAnsi"/>
          <w:sz w:val="22"/>
          <w:szCs w:val="22"/>
        </w:rPr>
      </w:pPr>
    </w:p>
    <w:p w14:paraId="01592F34" w14:textId="068FF15F" w:rsidR="00A3644F" w:rsidRDefault="00A3644F" w:rsidP="00B61F4A">
      <w:pPr>
        <w:pStyle w:val="ListParagraph"/>
        <w:numPr>
          <w:ilvl w:val="0"/>
          <w:numId w:val="33"/>
        </w:numPr>
        <w:ind w:left="720"/>
        <w:rPr>
          <w:rFonts w:cstheme="minorHAnsi"/>
          <w:sz w:val="22"/>
          <w:szCs w:val="22"/>
        </w:rPr>
      </w:pPr>
      <w:r>
        <w:rPr>
          <w:rFonts w:cstheme="minorHAnsi"/>
          <w:sz w:val="22"/>
          <w:szCs w:val="22"/>
        </w:rPr>
        <w:t xml:space="preserve">Given that all entities have a workforce, </w:t>
      </w:r>
      <w:r w:rsidR="00195098">
        <w:rPr>
          <w:rFonts w:cstheme="minorHAnsi"/>
          <w:sz w:val="22"/>
          <w:szCs w:val="22"/>
        </w:rPr>
        <w:t xml:space="preserve">the ISSB could consider including </w:t>
      </w:r>
      <w:r>
        <w:rPr>
          <w:rFonts w:cstheme="minorHAnsi"/>
          <w:sz w:val="22"/>
          <w:szCs w:val="22"/>
        </w:rPr>
        <w:t>certain workforce-related disclosures</w:t>
      </w:r>
      <w:r w:rsidR="00195098">
        <w:rPr>
          <w:rFonts w:cstheme="minorHAnsi"/>
          <w:sz w:val="22"/>
          <w:szCs w:val="22"/>
        </w:rPr>
        <w:t xml:space="preserve"> in a thematic standard on social-related disclosures. These could</w:t>
      </w:r>
      <w:r>
        <w:rPr>
          <w:rFonts w:cstheme="minorHAnsi"/>
          <w:sz w:val="22"/>
          <w:szCs w:val="22"/>
        </w:rPr>
        <w:t xml:space="preserve"> </w:t>
      </w:r>
      <w:r w:rsidR="002808ED">
        <w:rPr>
          <w:rFonts w:cstheme="minorHAnsi"/>
          <w:sz w:val="22"/>
          <w:szCs w:val="22"/>
        </w:rPr>
        <w:t xml:space="preserve">include </w:t>
      </w:r>
      <w:r w:rsidR="00195098">
        <w:rPr>
          <w:rFonts w:cstheme="minorHAnsi"/>
          <w:sz w:val="22"/>
          <w:szCs w:val="22"/>
        </w:rPr>
        <w:t>metrics regarding</w:t>
      </w:r>
      <w:r>
        <w:rPr>
          <w:rFonts w:cstheme="minorHAnsi"/>
          <w:sz w:val="22"/>
          <w:szCs w:val="22"/>
        </w:rPr>
        <w:t xml:space="preserve"> workforce composition, DEI, </w:t>
      </w:r>
      <w:r w:rsidR="002808ED">
        <w:rPr>
          <w:rFonts w:cstheme="minorHAnsi"/>
          <w:sz w:val="22"/>
          <w:szCs w:val="22"/>
        </w:rPr>
        <w:t xml:space="preserve">compensation including </w:t>
      </w:r>
      <w:r>
        <w:rPr>
          <w:rFonts w:cstheme="minorHAnsi"/>
          <w:sz w:val="22"/>
          <w:szCs w:val="22"/>
        </w:rPr>
        <w:t>living wages</w:t>
      </w:r>
      <w:r w:rsidR="002808ED">
        <w:rPr>
          <w:rFonts w:cstheme="minorHAnsi"/>
          <w:sz w:val="22"/>
          <w:szCs w:val="22"/>
        </w:rPr>
        <w:t>, mental health</w:t>
      </w:r>
      <w:r>
        <w:rPr>
          <w:rFonts w:cstheme="minorHAnsi"/>
          <w:sz w:val="22"/>
          <w:szCs w:val="22"/>
        </w:rPr>
        <w:t xml:space="preserve"> and social benefits</w:t>
      </w:r>
      <w:r w:rsidR="002808ED">
        <w:rPr>
          <w:rFonts w:cstheme="minorHAnsi"/>
          <w:sz w:val="22"/>
          <w:szCs w:val="22"/>
        </w:rPr>
        <w:t>,</w:t>
      </w:r>
      <w:r>
        <w:rPr>
          <w:rFonts w:cstheme="minorHAnsi"/>
          <w:sz w:val="22"/>
          <w:szCs w:val="22"/>
        </w:rPr>
        <w:t xml:space="preserve"> and freedom of association</w:t>
      </w:r>
      <w:r w:rsidR="00195098">
        <w:rPr>
          <w:rFonts w:cstheme="minorHAnsi"/>
          <w:sz w:val="22"/>
          <w:szCs w:val="22"/>
        </w:rPr>
        <w:t xml:space="preserve">, which reflect </w:t>
      </w:r>
      <w:r w:rsidR="002808ED">
        <w:rPr>
          <w:rFonts w:cstheme="minorHAnsi"/>
          <w:sz w:val="22"/>
          <w:szCs w:val="22"/>
        </w:rPr>
        <w:t xml:space="preserve">typically </w:t>
      </w:r>
      <w:r w:rsidR="00195098">
        <w:rPr>
          <w:rFonts w:cstheme="minorHAnsi"/>
          <w:sz w:val="22"/>
          <w:szCs w:val="22"/>
        </w:rPr>
        <w:t>material information from both a human capital and human rights perspective.</w:t>
      </w:r>
    </w:p>
    <w:p w14:paraId="64B58531" w14:textId="77777777" w:rsidR="00A3644F" w:rsidRDefault="00A3644F" w:rsidP="00B61F4A">
      <w:pPr>
        <w:pStyle w:val="ListParagraph"/>
        <w:ind w:left="360"/>
        <w:rPr>
          <w:rFonts w:cstheme="minorHAnsi"/>
          <w:sz w:val="22"/>
          <w:szCs w:val="22"/>
        </w:rPr>
      </w:pPr>
    </w:p>
    <w:p w14:paraId="6CB61166" w14:textId="40A0F074" w:rsidR="00D56AFC" w:rsidRPr="009310BD" w:rsidRDefault="00514CBA" w:rsidP="00B61F4A">
      <w:pPr>
        <w:pStyle w:val="ListParagraph"/>
        <w:numPr>
          <w:ilvl w:val="0"/>
          <w:numId w:val="33"/>
        </w:numPr>
        <w:ind w:left="720"/>
        <w:rPr>
          <w:rFonts w:cstheme="minorHAnsi"/>
          <w:sz w:val="22"/>
          <w:szCs w:val="22"/>
        </w:rPr>
      </w:pPr>
      <w:r>
        <w:rPr>
          <w:rFonts w:cstheme="minorHAnsi"/>
          <w:sz w:val="22"/>
          <w:szCs w:val="22"/>
        </w:rPr>
        <w:t>T</w:t>
      </w:r>
      <w:r w:rsidR="00053937">
        <w:rPr>
          <w:rFonts w:cstheme="minorHAnsi"/>
          <w:sz w:val="22"/>
          <w:szCs w:val="22"/>
        </w:rPr>
        <w:t xml:space="preserve">he ISSB will be able to progress more efficiently in the future on specific social-related topics, once a </w:t>
      </w:r>
      <w:r w:rsidR="00044CD7">
        <w:rPr>
          <w:rFonts w:cstheme="minorHAnsi"/>
          <w:sz w:val="22"/>
          <w:szCs w:val="22"/>
        </w:rPr>
        <w:t>clear foundation and</w:t>
      </w:r>
      <w:r w:rsidR="002808ED">
        <w:rPr>
          <w:rFonts w:cstheme="minorHAnsi"/>
          <w:sz w:val="22"/>
          <w:szCs w:val="22"/>
        </w:rPr>
        <w:t xml:space="preserve"> </w:t>
      </w:r>
      <w:r w:rsidR="00053937">
        <w:rPr>
          <w:rFonts w:cstheme="minorHAnsi"/>
          <w:sz w:val="22"/>
          <w:szCs w:val="22"/>
        </w:rPr>
        <w:t>architecture</w:t>
      </w:r>
      <w:r w:rsidR="002808ED">
        <w:rPr>
          <w:rFonts w:cstheme="minorHAnsi"/>
          <w:sz w:val="22"/>
          <w:szCs w:val="22"/>
        </w:rPr>
        <w:t xml:space="preserve"> for social-related disclosures </w:t>
      </w:r>
      <w:r w:rsidR="00053937">
        <w:rPr>
          <w:rFonts w:cstheme="minorHAnsi"/>
          <w:sz w:val="22"/>
          <w:szCs w:val="22"/>
        </w:rPr>
        <w:t xml:space="preserve">have been established.  </w:t>
      </w:r>
    </w:p>
    <w:p w14:paraId="63010F75" w14:textId="49BB5C16" w:rsidR="007542D9" w:rsidRDefault="007542D9" w:rsidP="00B61F4A">
      <w:pPr>
        <w:pStyle w:val="ListParagraph"/>
        <w:spacing w:line="276" w:lineRule="auto"/>
        <w:ind w:left="360"/>
        <w:rPr>
          <w:rFonts w:cstheme="minorHAnsi"/>
          <w:sz w:val="22"/>
          <w:szCs w:val="22"/>
        </w:rPr>
      </w:pPr>
    </w:p>
    <w:p w14:paraId="442649D6" w14:textId="475E8CC1" w:rsidR="00514CBA" w:rsidRDefault="00514CBA" w:rsidP="00B61F4A">
      <w:pPr>
        <w:pStyle w:val="ListParagraph"/>
        <w:numPr>
          <w:ilvl w:val="0"/>
          <w:numId w:val="33"/>
        </w:numPr>
        <w:ind w:left="720"/>
        <w:rPr>
          <w:rFonts w:cstheme="minorHAnsi"/>
          <w:sz w:val="22"/>
          <w:szCs w:val="22"/>
        </w:rPr>
      </w:pPr>
      <w:r>
        <w:rPr>
          <w:rFonts w:cstheme="minorHAnsi"/>
          <w:sz w:val="22"/>
          <w:szCs w:val="22"/>
        </w:rPr>
        <w:t>The announcement of plans to establish a Taskforce on Social/Inequality-related Financial Disclosures</w:t>
      </w:r>
      <w:r w:rsidR="00394C91">
        <w:rPr>
          <w:rFonts w:cstheme="minorHAnsi"/>
          <w:sz w:val="22"/>
          <w:szCs w:val="22"/>
        </w:rPr>
        <w:t xml:space="preserve"> – </w:t>
      </w:r>
      <w:r>
        <w:rPr>
          <w:rFonts w:cstheme="minorHAnsi"/>
          <w:sz w:val="22"/>
          <w:szCs w:val="22"/>
        </w:rPr>
        <w:t>akin to the TCFD for climate and TNFD for nature</w:t>
      </w:r>
      <w:r w:rsidR="00394C91">
        <w:rPr>
          <w:rFonts w:cstheme="minorHAnsi"/>
          <w:sz w:val="22"/>
          <w:szCs w:val="22"/>
        </w:rPr>
        <w:t xml:space="preserve"> –</w:t>
      </w:r>
      <w:r>
        <w:rPr>
          <w:rFonts w:cstheme="minorHAnsi"/>
          <w:sz w:val="22"/>
          <w:szCs w:val="22"/>
        </w:rPr>
        <w:t xml:space="preserve"> </w:t>
      </w:r>
      <w:r w:rsidR="00394C91">
        <w:rPr>
          <w:rFonts w:cstheme="minorHAnsi"/>
          <w:sz w:val="22"/>
          <w:szCs w:val="22"/>
        </w:rPr>
        <w:t xml:space="preserve">which is likely to </w:t>
      </w:r>
      <w:r w:rsidR="00453689">
        <w:rPr>
          <w:rFonts w:cstheme="minorHAnsi"/>
          <w:sz w:val="22"/>
          <w:szCs w:val="22"/>
        </w:rPr>
        <w:t>be launched</w:t>
      </w:r>
      <w:r>
        <w:rPr>
          <w:rFonts w:cstheme="minorHAnsi"/>
          <w:sz w:val="22"/>
          <w:szCs w:val="22"/>
        </w:rPr>
        <w:t xml:space="preserve"> </w:t>
      </w:r>
      <w:r w:rsidR="00453689">
        <w:rPr>
          <w:rFonts w:cstheme="minorHAnsi"/>
          <w:sz w:val="22"/>
          <w:szCs w:val="22"/>
        </w:rPr>
        <w:t>in Q1 2024,</w:t>
      </w:r>
      <w:r>
        <w:rPr>
          <w:rFonts w:cstheme="minorHAnsi"/>
          <w:sz w:val="22"/>
          <w:szCs w:val="22"/>
        </w:rPr>
        <w:t xml:space="preserve"> offers a further opportunity for this approach. It would be a timely and valuable resource that can provide </w:t>
      </w:r>
      <w:r>
        <w:rPr>
          <w:rFonts w:cstheme="minorHAnsi"/>
          <w:sz w:val="22"/>
          <w:szCs w:val="22"/>
        </w:rPr>
        <w:lastRenderedPageBreak/>
        <w:t>supporting research and consensus-building opportunities with regard both to a cross-cutting social standard in the near term, and to subsequent standards on specific social-related topics in due course.</w:t>
      </w:r>
    </w:p>
    <w:p w14:paraId="7BBE4580" w14:textId="77777777" w:rsidR="002E317E" w:rsidRDefault="002E317E">
      <w:pPr>
        <w:rPr>
          <w:rFonts w:cstheme="minorHAnsi"/>
          <w:sz w:val="22"/>
          <w:szCs w:val="22"/>
        </w:rPr>
        <w:sectPr w:rsidR="002E317E" w:rsidSect="00FF3A30">
          <w:headerReference w:type="even" r:id="rId7"/>
          <w:headerReference w:type="default" r:id="rId8"/>
          <w:footerReference w:type="even" r:id="rId9"/>
          <w:footerReference w:type="default" r:id="rId10"/>
          <w:headerReference w:type="first" r:id="rId11"/>
          <w:footerReference w:type="first" r:id="rId12"/>
          <w:pgSz w:w="12240" w:h="15840"/>
          <w:pgMar w:top="1440" w:right="1080" w:bottom="1152" w:left="1080" w:header="720" w:footer="720" w:gutter="0"/>
          <w:cols w:space="720"/>
          <w:docGrid w:linePitch="360"/>
        </w:sectPr>
      </w:pPr>
    </w:p>
    <w:p w14:paraId="4D7D4818" w14:textId="77777777" w:rsidR="00473C84" w:rsidRDefault="0003445B">
      <w:r>
        <w:rPr>
          <w:rFonts w:cstheme="minorHAnsi"/>
          <w:sz w:val="22"/>
          <w:szCs w:val="22"/>
        </w:rPr>
        <w:lastRenderedPageBreak/>
        <w:t>END NOTES</w:t>
      </w:r>
    </w:p>
    <w:sectPr w:rsidR="00473C84" w:rsidSect="008A36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F63F3" w14:textId="77777777" w:rsidR="00843EB3" w:rsidRDefault="00843EB3" w:rsidP="00233F6D">
      <w:r>
        <w:separator/>
      </w:r>
    </w:p>
  </w:endnote>
  <w:endnote w:type="continuationSeparator" w:id="0">
    <w:p w14:paraId="510F5B0B" w14:textId="77777777" w:rsidR="00843EB3" w:rsidRDefault="00843EB3" w:rsidP="00233F6D">
      <w:r>
        <w:continuationSeparator/>
      </w:r>
    </w:p>
  </w:endnote>
  <w:endnote w:id="1">
    <w:p w14:paraId="292C4F1E" w14:textId="1F6790AF" w:rsidR="009310BD" w:rsidRPr="009310BD" w:rsidRDefault="009310BD">
      <w:pPr>
        <w:pStyle w:val="EndnoteText"/>
      </w:pPr>
      <w:r>
        <w:rPr>
          <w:rStyle w:val="EndnoteReference"/>
        </w:rPr>
        <w:endnoteRef/>
      </w:r>
      <w:r>
        <w:t xml:space="preserve"> See Ruggie and Middleton, </w:t>
      </w:r>
      <w:r w:rsidRPr="009310BD">
        <w:rPr>
          <w:i/>
        </w:rPr>
        <w:t>Money, Millennials and Human Rights: Sustaining ‘Sustainable Investment’</w:t>
      </w:r>
      <w:r>
        <w:t>, Harvard Kennedy School, 20</w:t>
      </w:r>
      <w:r w:rsidR="00796694">
        <w:t>1</w:t>
      </w:r>
      <w:r>
        <w:t xml:space="preserve">8; available at: </w:t>
      </w:r>
      <w:r w:rsidRPr="009310BD">
        <w:t>https://www.hks.harvard.edu/centers/mrcbg/publications/fwp/2018-01</w:t>
      </w:r>
    </w:p>
  </w:endnote>
  <w:endnote w:id="2">
    <w:p w14:paraId="3E10FE6E" w14:textId="53AB53AA" w:rsidR="009310BD" w:rsidRDefault="009310BD">
      <w:pPr>
        <w:pStyle w:val="EndnoteText"/>
      </w:pPr>
      <w:r>
        <w:rPr>
          <w:rStyle w:val="EndnoteReference"/>
        </w:rPr>
        <w:endnoteRef/>
      </w:r>
      <w:r>
        <w:t xml:space="preserve"> See Capitals Coalition, </w:t>
      </w:r>
      <w:r w:rsidRPr="009310BD">
        <w:rPr>
          <w:i/>
        </w:rPr>
        <w:t>Social and Human Capital Protocol</w:t>
      </w:r>
      <w:r>
        <w:t xml:space="preserve">, available at: </w:t>
      </w:r>
      <w:r w:rsidRPr="009310BD">
        <w:t>https://capitalscoalition.org/capitals-approach/social-human-capital-protocol/#:~:text=The%20Social%20%26%20Human%20Capital%20Protocol,on%20social%20capital%20%26%20human%20capital</w:t>
      </w:r>
    </w:p>
  </w:endnote>
  <w:endnote w:id="3">
    <w:p w14:paraId="5832F8AD" w14:textId="1DC4CF2D" w:rsidR="00750D6E" w:rsidRDefault="00750D6E">
      <w:pPr>
        <w:pStyle w:val="EndnoteText"/>
      </w:pPr>
      <w:r>
        <w:rPr>
          <w:rStyle w:val="EndnoteReference"/>
        </w:rPr>
        <w:endnoteRef/>
      </w:r>
      <w:r>
        <w:t xml:space="preserve"> See the International Covenant on Economic, Social and Cultural Rights: Article 2 on freedom from discrimination; Article 7 regarding remuneration and safe and healthy working conditions</w:t>
      </w:r>
      <w:r w:rsidR="00FF3A30">
        <w:t xml:space="preserve"> (</w:t>
      </w:r>
      <w:r w:rsidR="00FF3A30" w:rsidRPr="00FF3A30">
        <w:t>https://www.ohchr.org/sites/default/files/cescr.pdf</w:t>
      </w:r>
      <w:r w:rsidR="00FF3A30">
        <w:t>)</w:t>
      </w:r>
    </w:p>
  </w:endnote>
  <w:endnote w:id="4">
    <w:p w14:paraId="65AD5C54" w14:textId="7359BB89" w:rsidR="009310BD" w:rsidRDefault="009310BD">
      <w:pPr>
        <w:pStyle w:val="EndnoteText"/>
      </w:pPr>
      <w:r>
        <w:rPr>
          <w:rStyle w:val="EndnoteReference"/>
        </w:rPr>
        <w:endnoteRef/>
      </w:r>
      <w:r>
        <w:t xml:space="preserve"> </w:t>
      </w:r>
      <w:r w:rsidRPr="009310BD">
        <w:t>https://www.washingtonpost.com/made-by-history/2023/04/18/child-labor-returns/</w:t>
      </w:r>
    </w:p>
  </w:endnote>
  <w:endnote w:id="5">
    <w:p w14:paraId="407BAFDD" w14:textId="61469733" w:rsidR="00E82D8A" w:rsidRDefault="00E82D8A">
      <w:pPr>
        <w:pStyle w:val="EndnoteText"/>
      </w:pPr>
      <w:r>
        <w:rPr>
          <w:rStyle w:val="EndnoteReference"/>
        </w:rPr>
        <w:endnoteRef/>
      </w:r>
      <w:r>
        <w:t xml:space="preserve"> </w:t>
      </w:r>
      <w:r w:rsidRPr="00E82D8A">
        <w:t>https://www.businessinsider.com/companies-should-invest-in-workers-and-pay-a-livable-wage-2022-5</w:t>
      </w:r>
    </w:p>
  </w:endnote>
  <w:endnote w:id="6">
    <w:p w14:paraId="49243845" w14:textId="2317DB16" w:rsidR="009310BD" w:rsidRDefault="009310BD">
      <w:pPr>
        <w:pStyle w:val="EndnoteText"/>
      </w:pPr>
      <w:r>
        <w:rPr>
          <w:rStyle w:val="EndnoteReference"/>
        </w:rPr>
        <w:endnoteRef/>
      </w:r>
      <w:r>
        <w:t xml:space="preserve"> </w:t>
      </w:r>
      <w:hyperlink r:id="rId1" w:history="1">
        <w:r w:rsidRPr="007C3D05">
          <w:rPr>
            <w:rStyle w:val="Hyperlink"/>
          </w:rPr>
          <w:t>https://www.reuters.com/business/brazils-vale-fined-17-mln-brumadinho-tailings-dam-disaster-2022-08-15/</w:t>
        </w:r>
      </w:hyperlink>
      <w:r>
        <w:t xml:space="preserve">; and </w:t>
      </w:r>
      <w:hyperlink r:id="rId2" w:history="1">
        <w:r w:rsidRPr="007C3D05">
          <w:rPr>
            <w:rStyle w:val="Hyperlink"/>
          </w:rPr>
          <w:t>https://www.bbc.com/news/world-australia-54112991</w:t>
        </w:r>
      </w:hyperlink>
      <w:r>
        <w:t xml:space="preserve"> </w:t>
      </w:r>
    </w:p>
  </w:endnote>
  <w:endnote w:id="7">
    <w:p w14:paraId="2801F0A9" w14:textId="77777777" w:rsidR="002E49F7" w:rsidRPr="00AB4258" w:rsidRDefault="002E49F7" w:rsidP="002E49F7">
      <w:pPr>
        <w:pStyle w:val="EndnoteText"/>
        <w:rPr>
          <w:lang w:val="en-GB"/>
        </w:rPr>
      </w:pPr>
      <w:r w:rsidRPr="00AB4258">
        <w:rPr>
          <w:rStyle w:val="EndnoteReference"/>
          <w:lang w:val="en-GB"/>
        </w:rPr>
        <w:endnoteRef/>
      </w:r>
      <w:r w:rsidRPr="00AB4258">
        <w:rPr>
          <w:lang w:val="en-GB"/>
        </w:rPr>
        <w:t xml:space="preserve"> IPPC, </w:t>
      </w:r>
      <w:r w:rsidRPr="00AB4258">
        <w:rPr>
          <w:i/>
          <w:lang w:val="en-GB"/>
        </w:rPr>
        <w:t>IPPC Sixth Assessment Report</w:t>
      </w:r>
      <w:r w:rsidRPr="00AB4258">
        <w:rPr>
          <w:lang w:val="en-GB"/>
        </w:rPr>
        <w:t xml:space="preserve">. 2022; available at: </w:t>
      </w:r>
      <w:hyperlink r:id="rId3" w:history="1">
        <w:r w:rsidRPr="00AB4258">
          <w:rPr>
            <w:rStyle w:val="Hyperlink"/>
            <w:lang w:val="en-GB"/>
          </w:rPr>
          <w:t>https://www.maplecroft.com/insights/analysis/101-countries-witness-rise-in-civil-unrest-in-last-quarter-worst-yet-to-come-as-socioeconomic-pressures-build/</w:t>
        </w:r>
      </w:hyperlink>
      <w:r w:rsidRPr="00AB4258">
        <w:rPr>
          <w:lang w:val="en-GB"/>
        </w:rPr>
        <w:t xml:space="preserve"> </w:t>
      </w:r>
    </w:p>
  </w:endnote>
  <w:endnote w:id="8">
    <w:p w14:paraId="06617F53" w14:textId="77777777" w:rsidR="002808ED" w:rsidRPr="00AB4258" w:rsidRDefault="002808ED">
      <w:pPr>
        <w:pStyle w:val="EndnoteText"/>
        <w:rPr>
          <w:lang w:val="en-GB"/>
        </w:rPr>
      </w:pPr>
      <w:r w:rsidRPr="00AB4258">
        <w:rPr>
          <w:rStyle w:val="EndnoteReference"/>
          <w:lang w:val="en-GB"/>
        </w:rPr>
        <w:endnoteRef/>
      </w:r>
      <w:r w:rsidRPr="00AB4258">
        <w:rPr>
          <w:lang w:val="en-GB"/>
        </w:rPr>
        <w:t xml:space="preserve"> For the full articulation of these categories, see </w:t>
      </w:r>
      <w:r w:rsidRPr="00AB4258">
        <w:rPr>
          <w:i/>
          <w:lang w:val="en-GB"/>
        </w:rPr>
        <w:t>CDSB Framework for reporting environmental and social lnformation</w:t>
      </w:r>
      <w:r w:rsidRPr="00AB4258">
        <w:rPr>
          <w:lang w:val="en-GB"/>
        </w:rPr>
        <w:t>, 2022, p.8; available at: https://www.cdsb.net/sites/default/files/cdsb_framework_2022.pdf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320687"/>
      <w:docPartObj>
        <w:docPartGallery w:val="Page Numbers (Bottom of Page)"/>
        <w:docPartUnique/>
      </w:docPartObj>
    </w:sdtPr>
    <w:sdtContent>
      <w:p w14:paraId="69C01524" w14:textId="77777777" w:rsidR="002808ED" w:rsidRDefault="002808ED" w:rsidP="00D56A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F7E59E" w14:textId="77777777" w:rsidR="002808ED" w:rsidRDefault="002808ED" w:rsidP="003C0E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659085"/>
      <w:docPartObj>
        <w:docPartGallery w:val="Page Numbers (Bottom of Page)"/>
        <w:docPartUnique/>
      </w:docPartObj>
    </w:sdtPr>
    <w:sdtContent>
      <w:p w14:paraId="45004B13" w14:textId="77777777" w:rsidR="002808ED" w:rsidRDefault="002808ED" w:rsidP="00D56A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4D029A" w14:textId="77777777" w:rsidR="002808ED" w:rsidRDefault="002808ED" w:rsidP="003C0E5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BFD01" w14:textId="77777777" w:rsidR="00EE00EF" w:rsidRDefault="00EE0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7BE23" w14:textId="77777777" w:rsidR="00843EB3" w:rsidRDefault="00843EB3" w:rsidP="00233F6D">
      <w:r>
        <w:separator/>
      </w:r>
    </w:p>
  </w:footnote>
  <w:footnote w:type="continuationSeparator" w:id="0">
    <w:p w14:paraId="7F5629BB" w14:textId="77777777" w:rsidR="00843EB3" w:rsidRDefault="00843EB3" w:rsidP="00233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ED85" w14:textId="4F09B2BF" w:rsidR="002808ED" w:rsidRDefault="002808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EBDD4" w14:textId="421B3BE1" w:rsidR="002808ED" w:rsidRPr="005D7579" w:rsidRDefault="002808ED" w:rsidP="005D7579">
    <w:pPr>
      <w:pStyle w:val="Header"/>
      <w:jc w:val="center"/>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CB275" w14:textId="0DE616E9" w:rsidR="002808ED" w:rsidRDefault="00280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EB9"/>
    <w:multiLevelType w:val="hybridMultilevel"/>
    <w:tmpl w:val="34AC09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D1373"/>
    <w:multiLevelType w:val="hybridMultilevel"/>
    <w:tmpl w:val="928ED4B2"/>
    <w:lvl w:ilvl="0" w:tplc="6A06C68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86A52"/>
    <w:multiLevelType w:val="hybridMultilevel"/>
    <w:tmpl w:val="35D2258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B37039"/>
    <w:multiLevelType w:val="hybridMultilevel"/>
    <w:tmpl w:val="2BB8A4E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20A2C9E"/>
    <w:multiLevelType w:val="hybridMultilevel"/>
    <w:tmpl w:val="9D5EB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7016D"/>
    <w:multiLevelType w:val="hybridMultilevel"/>
    <w:tmpl w:val="B48A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735C6"/>
    <w:multiLevelType w:val="hybridMultilevel"/>
    <w:tmpl w:val="40AEE8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4262C2"/>
    <w:multiLevelType w:val="hybridMultilevel"/>
    <w:tmpl w:val="0226D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1329F7"/>
    <w:multiLevelType w:val="hybridMultilevel"/>
    <w:tmpl w:val="9D5EB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2C59B7"/>
    <w:multiLevelType w:val="hybridMultilevel"/>
    <w:tmpl w:val="19D459DA"/>
    <w:lvl w:ilvl="0" w:tplc="6A06C68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AC24B2"/>
    <w:multiLevelType w:val="hybridMultilevel"/>
    <w:tmpl w:val="DC7C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0E3A9D"/>
    <w:multiLevelType w:val="hybridMultilevel"/>
    <w:tmpl w:val="AE78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E7740"/>
    <w:multiLevelType w:val="hybridMultilevel"/>
    <w:tmpl w:val="251AB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9639DA"/>
    <w:multiLevelType w:val="hybridMultilevel"/>
    <w:tmpl w:val="27949D50"/>
    <w:lvl w:ilvl="0" w:tplc="6A06C68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7F420A"/>
    <w:multiLevelType w:val="hybridMultilevel"/>
    <w:tmpl w:val="5FDA999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A61201"/>
    <w:multiLevelType w:val="hybridMultilevel"/>
    <w:tmpl w:val="E8FA4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58E241A"/>
    <w:multiLevelType w:val="hybridMultilevel"/>
    <w:tmpl w:val="91D29604"/>
    <w:lvl w:ilvl="0" w:tplc="C6E0FBF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5C55E65"/>
    <w:multiLevelType w:val="hybridMultilevel"/>
    <w:tmpl w:val="2FB0EF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9BC026A"/>
    <w:multiLevelType w:val="hybridMultilevel"/>
    <w:tmpl w:val="75908264"/>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A14670"/>
    <w:multiLevelType w:val="hybridMultilevel"/>
    <w:tmpl w:val="5198CA6A"/>
    <w:lvl w:ilvl="0" w:tplc="636A4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4B535F"/>
    <w:multiLevelType w:val="hybridMultilevel"/>
    <w:tmpl w:val="34B459E6"/>
    <w:lvl w:ilvl="0" w:tplc="9FC6DB0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23551B"/>
    <w:multiLevelType w:val="hybridMultilevel"/>
    <w:tmpl w:val="45345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4C1A73"/>
    <w:multiLevelType w:val="hybridMultilevel"/>
    <w:tmpl w:val="96E8D5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1D73E7"/>
    <w:multiLevelType w:val="hybridMultilevel"/>
    <w:tmpl w:val="5498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3765C4"/>
    <w:multiLevelType w:val="multilevel"/>
    <w:tmpl w:val="C052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DD47CC"/>
    <w:multiLevelType w:val="hybridMultilevel"/>
    <w:tmpl w:val="63D43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A27A7B"/>
    <w:multiLevelType w:val="hybridMultilevel"/>
    <w:tmpl w:val="DF568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E557B2"/>
    <w:multiLevelType w:val="hybridMultilevel"/>
    <w:tmpl w:val="AEE28D6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71436338"/>
    <w:multiLevelType w:val="hybridMultilevel"/>
    <w:tmpl w:val="BE68345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60031E3"/>
    <w:multiLevelType w:val="hybridMultilevel"/>
    <w:tmpl w:val="093EE0A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8D67B2D"/>
    <w:multiLevelType w:val="hybridMultilevel"/>
    <w:tmpl w:val="7C5AF93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BE3C22"/>
    <w:multiLevelType w:val="hybridMultilevel"/>
    <w:tmpl w:val="9D5EB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75238D"/>
    <w:multiLevelType w:val="hybridMultilevel"/>
    <w:tmpl w:val="232A7D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6A2E85"/>
    <w:multiLevelType w:val="hybridMultilevel"/>
    <w:tmpl w:val="B2B6A5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EFB48A3"/>
    <w:multiLevelType w:val="hybridMultilevel"/>
    <w:tmpl w:val="CF9C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1788452">
    <w:abstractNumId w:val="20"/>
  </w:num>
  <w:num w:numId="2" w16cid:durableId="1659653621">
    <w:abstractNumId w:val="1"/>
  </w:num>
  <w:num w:numId="3" w16cid:durableId="230819129">
    <w:abstractNumId w:val="0"/>
  </w:num>
  <w:num w:numId="4" w16cid:durableId="1559364371">
    <w:abstractNumId w:val="15"/>
  </w:num>
  <w:num w:numId="5" w16cid:durableId="1361659324">
    <w:abstractNumId w:val="23"/>
  </w:num>
  <w:num w:numId="6" w16cid:durableId="2131851059">
    <w:abstractNumId w:val="24"/>
  </w:num>
  <w:num w:numId="7" w16cid:durableId="1887833676">
    <w:abstractNumId w:val="4"/>
  </w:num>
  <w:num w:numId="8" w16cid:durableId="1336959616">
    <w:abstractNumId w:val="31"/>
  </w:num>
  <w:num w:numId="9" w16cid:durableId="442457618">
    <w:abstractNumId w:val="11"/>
  </w:num>
  <w:num w:numId="10" w16cid:durableId="562911828">
    <w:abstractNumId w:val="8"/>
  </w:num>
  <w:num w:numId="11" w16cid:durableId="1538278872">
    <w:abstractNumId w:val="22"/>
  </w:num>
  <w:num w:numId="12" w16cid:durableId="895432685">
    <w:abstractNumId w:val="19"/>
  </w:num>
  <w:num w:numId="13" w16cid:durableId="1022050540">
    <w:abstractNumId w:val="17"/>
  </w:num>
  <w:num w:numId="14" w16cid:durableId="507255119">
    <w:abstractNumId w:val="13"/>
  </w:num>
  <w:num w:numId="15" w16cid:durableId="1002201740">
    <w:abstractNumId w:val="25"/>
  </w:num>
  <w:num w:numId="16" w16cid:durableId="1982030608">
    <w:abstractNumId w:val="6"/>
  </w:num>
  <w:num w:numId="17" w16cid:durableId="754517240">
    <w:abstractNumId w:val="10"/>
  </w:num>
  <w:num w:numId="18" w16cid:durableId="1226917242">
    <w:abstractNumId w:val="34"/>
  </w:num>
  <w:num w:numId="19" w16cid:durableId="2011716774">
    <w:abstractNumId w:val="16"/>
  </w:num>
  <w:num w:numId="20" w16cid:durableId="2092071691">
    <w:abstractNumId w:val="5"/>
  </w:num>
  <w:num w:numId="21" w16cid:durableId="1939752320">
    <w:abstractNumId w:val="21"/>
  </w:num>
  <w:num w:numId="22" w16cid:durableId="1428112891">
    <w:abstractNumId w:val="9"/>
  </w:num>
  <w:num w:numId="23" w16cid:durableId="584723454">
    <w:abstractNumId w:val="28"/>
  </w:num>
  <w:num w:numId="24" w16cid:durableId="514269666">
    <w:abstractNumId w:val="3"/>
  </w:num>
  <w:num w:numId="25" w16cid:durableId="1037046729">
    <w:abstractNumId w:val="27"/>
  </w:num>
  <w:num w:numId="26" w16cid:durableId="127479944">
    <w:abstractNumId w:val="14"/>
  </w:num>
  <w:num w:numId="27" w16cid:durableId="1900166122">
    <w:abstractNumId w:val="32"/>
  </w:num>
  <w:num w:numId="28" w16cid:durableId="301547541">
    <w:abstractNumId w:val="26"/>
  </w:num>
  <w:num w:numId="29" w16cid:durableId="1840391462">
    <w:abstractNumId w:val="30"/>
  </w:num>
  <w:num w:numId="30" w16cid:durableId="1236741498">
    <w:abstractNumId w:val="2"/>
  </w:num>
  <w:num w:numId="31" w16cid:durableId="898784445">
    <w:abstractNumId w:val="33"/>
  </w:num>
  <w:num w:numId="32" w16cid:durableId="1972058232">
    <w:abstractNumId w:val="18"/>
  </w:num>
  <w:num w:numId="33" w16cid:durableId="973218759">
    <w:abstractNumId w:val="29"/>
  </w:num>
  <w:num w:numId="34" w16cid:durableId="225916831">
    <w:abstractNumId w:val="12"/>
  </w:num>
  <w:num w:numId="35" w16cid:durableId="12807268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40E"/>
    <w:rsid w:val="00014AD4"/>
    <w:rsid w:val="00027EEA"/>
    <w:rsid w:val="0003445B"/>
    <w:rsid w:val="00036D6F"/>
    <w:rsid w:val="00044CD7"/>
    <w:rsid w:val="00053937"/>
    <w:rsid w:val="00076BB4"/>
    <w:rsid w:val="0008165F"/>
    <w:rsid w:val="00090536"/>
    <w:rsid w:val="000975D5"/>
    <w:rsid w:val="000B51E8"/>
    <w:rsid w:val="000D09D9"/>
    <w:rsid w:val="000E2062"/>
    <w:rsid w:val="000E30A4"/>
    <w:rsid w:val="000F33B4"/>
    <w:rsid w:val="000F6DCB"/>
    <w:rsid w:val="00106C90"/>
    <w:rsid w:val="00130CF4"/>
    <w:rsid w:val="00132D99"/>
    <w:rsid w:val="00185E73"/>
    <w:rsid w:val="00186F33"/>
    <w:rsid w:val="00195098"/>
    <w:rsid w:val="001A29ED"/>
    <w:rsid w:val="001B05E0"/>
    <w:rsid w:val="001E2FB8"/>
    <w:rsid w:val="00204BB6"/>
    <w:rsid w:val="002138C9"/>
    <w:rsid w:val="00220DE2"/>
    <w:rsid w:val="00233F6D"/>
    <w:rsid w:val="00237D2A"/>
    <w:rsid w:val="00265BB8"/>
    <w:rsid w:val="002808ED"/>
    <w:rsid w:val="00291AAD"/>
    <w:rsid w:val="00296A6F"/>
    <w:rsid w:val="002A02D6"/>
    <w:rsid w:val="002A355F"/>
    <w:rsid w:val="002B5B4F"/>
    <w:rsid w:val="002D799C"/>
    <w:rsid w:val="002E317E"/>
    <w:rsid w:val="002E49F7"/>
    <w:rsid w:val="00307089"/>
    <w:rsid w:val="00315FE4"/>
    <w:rsid w:val="003206E4"/>
    <w:rsid w:val="00347BA2"/>
    <w:rsid w:val="00381F1E"/>
    <w:rsid w:val="0038445F"/>
    <w:rsid w:val="00385F1A"/>
    <w:rsid w:val="003914C7"/>
    <w:rsid w:val="00393EF6"/>
    <w:rsid w:val="00394C91"/>
    <w:rsid w:val="00394D59"/>
    <w:rsid w:val="003C0E5B"/>
    <w:rsid w:val="003D72BC"/>
    <w:rsid w:val="003F7ED9"/>
    <w:rsid w:val="00401B9D"/>
    <w:rsid w:val="00406AA1"/>
    <w:rsid w:val="004339D6"/>
    <w:rsid w:val="00436EA8"/>
    <w:rsid w:val="004417F4"/>
    <w:rsid w:val="00453689"/>
    <w:rsid w:val="00462C8A"/>
    <w:rsid w:val="00473C84"/>
    <w:rsid w:val="00493ED7"/>
    <w:rsid w:val="004F296B"/>
    <w:rsid w:val="00514CBA"/>
    <w:rsid w:val="005165B7"/>
    <w:rsid w:val="005243E0"/>
    <w:rsid w:val="00540A53"/>
    <w:rsid w:val="00540DA1"/>
    <w:rsid w:val="00543438"/>
    <w:rsid w:val="005747AD"/>
    <w:rsid w:val="005814D2"/>
    <w:rsid w:val="005910EC"/>
    <w:rsid w:val="005949E2"/>
    <w:rsid w:val="005A116C"/>
    <w:rsid w:val="005A24C0"/>
    <w:rsid w:val="005A7DBC"/>
    <w:rsid w:val="005D7579"/>
    <w:rsid w:val="00602E84"/>
    <w:rsid w:val="0064474D"/>
    <w:rsid w:val="0065324F"/>
    <w:rsid w:val="00660404"/>
    <w:rsid w:val="006712C7"/>
    <w:rsid w:val="00684DF4"/>
    <w:rsid w:val="00685E8F"/>
    <w:rsid w:val="00686EEF"/>
    <w:rsid w:val="006C2A9C"/>
    <w:rsid w:val="0070337D"/>
    <w:rsid w:val="00703516"/>
    <w:rsid w:val="007064A1"/>
    <w:rsid w:val="007336DE"/>
    <w:rsid w:val="00750D6E"/>
    <w:rsid w:val="007542D9"/>
    <w:rsid w:val="00755030"/>
    <w:rsid w:val="00756D41"/>
    <w:rsid w:val="00770828"/>
    <w:rsid w:val="007768B9"/>
    <w:rsid w:val="00784F86"/>
    <w:rsid w:val="00796694"/>
    <w:rsid w:val="007A065D"/>
    <w:rsid w:val="007B1663"/>
    <w:rsid w:val="007B26DD"/>
    <w:rsid w:val="007C32A1"/>
    <w:rsid w:val="007E1336"/>
    <w:rsid w:val="007F2C7B"/>
    <w:rsid w:val="00813BA6"/>
    <w:rsid w:val="00814FEA"/>
    <w:rsid w:val="00822899"/>
    <w:rsid w:val="00824D3E"/>
    <w:rsid w:val="00843EB3"/>
    <w:rsid w:val="008454C9"/>
    <w:rsid w:val="008532BB"/>
    <w:rsid w:val="00864BD4"/>
    <w:rsid w:val="0087603A"/>
    <w:rsid w:val="008946F3"/>
    <w:rsid w:val="008A36F9"/>
    <w:rsid w:val="008A53A3"/>
    <w:rsid w:val="008A5B62"/>
    <w:rsid w:val="008C2F54"/>
    <w:rsid w:val="008D5B50"/>
    <w:rsid w:val="008E7E1D"/>
    <w:rsid w:val="00907030"/>
    <w:rsid w:val="00914E32"/>
    <w:rsid w:val="009310BD"/>
    <w:rsid w:val="009325BD"/>
    <w:rsid w:val="00942A06"/>
    <w:rsid w:val="009600CE"/>
    <w:rsid w:val="0096581A"/>
    <w:rsid w:val="00967DF0"/>
    <w:rsid w:val="00977FC1"/>
    <w:rsid w:val="009B4DFC"/>
    <w:rsid w:val="009C721D"/>
    <w:rsid w:val="009F139B"/>
    <w:rsid w:val="00A00CF0"/>
    <w:rsid w:val="00A1272D"/>
    <w:rsid w:val="00A13BEB"/>
    <w:rsid w:val="00A34C5C"/>
    <w:rsid w:val="00A3644F"/>
    <w:rsid w:val="00A4613C"/>
    <w:rsid w:val="00A55A4B"/>
    <w:rsid w:val="00A60CBB"/>
    <w:rsid w:val="00A64DB7"/>
    <w:rsid w:val="00A77FC0"/>
    <w:rsid w:val="00A80CAA"/>
    <w:rsid w:val="00A85932"/>
    <w:rsid w:val="00A8632D"/>
    <w:rsid w:val="00AA1CED"/>
    <w:rsid w:val="00AB4258"/>
    <w:rsid w:val="00AB63C5"/>
    <w:rsid w:val="00AB6443"/>
    <w:rsid w:val="00AC5B2D"/>
    <w:rsid w:val="00AD76F0"/>
    <w:rsid w:val="00AE1C20"/>
    <w:rsid w:val="00AF1DD9"/>
    <w:rsid w:val="00B57897"/>
    <w:rsid w:val="00B61421"/>
    <w:rsid w:val="00B61F4A"/>
    <w:rsid w:val="00B678E6"/>
    <w:rsid w:val="00B67B54"/>
    <w:rsid w:val="00B72B9E"/>
    <w:rsid w:val="00B76BAC"/>
    <w:rsid w:val="00B84756"/>
    <w:rsid w:val="00BC40E8"/>
    <w:rsid w:val="00BC440E"/>
    <w:rsid w:val="00BC4B16"/>
    <w:rsid w:val="00BC55A7"/>
    <w:rsid w:val="00BD61CD"/>
    <w:rsid w:val="00BF56A1"/>
    <w:rsid w:val="00BF661A"/>
    <w:rsid w:val="00BF79A9"/>
    <w:rsid w:val="00C0215D"/>
    <w:rsid w:val="00C07FB0"/>
    <w:rsid w:val="00C347DA"/>
    <w:rsid w:val="00C62EA8"/>
    <w:rsid w:val="00C708CC"/>
    <w:rsid w:val="00C90168"/>
    <w:rsid w:val="00C95540"/>
    <w:rsid w:val="00CB3364"/>
    <w:rsid w:val="00CC1482"/>
    <w:rsid w:val="00CD1A94"/>
    <w:rsid w:val="00CD7EF1"/>
    <w:rsid w:val="00CE1F61"/>
    <w:rsid w:val="00D04FB4"/>
    <w:rsid w:val="00D13C04"/>
    <w:rsid w:val="00D27C7B"/>
    <w:rsid w:val="00D40FC5"/>
    <w:rsid w:val="00D56AFC"/>
    <w:rsid w:val="00D76890"/>
    <w:rsid w:val="00D967D3"/>
    <w:rsid w:val="00DB629A"/>
    <w:rsid w:val="00DD3210"/>
    <w:rsid w:val="00DF74C1"/>
    <w:rsid w:val="00DF7ACB"/>
    <w:rsid w:val="00E16376"/>
    <w:rsid w:val="00E22B4D"/>
    <w:rsid w:val="00E47CD1"/>
    <w:rsid w:val="00E728C4"/>
    <w:rsid w:val="00E82D8A"/>
    <w:rsid w:val="00E84EB8"/>
    <w:rsid w:val="00E93B71"/>
    <w:rsid w:val="00EA019C"/>
    <w:rsid w:val="00EA31CF"/>
    <w:rsid w:val="00EB5CA6"/>
    <w:rsid w:val="00EE00EF"/>
    <w:rsid w:val="00F0596F"/>
    <w:rsid w:val="00F06210"/>
    <w:rsid w:val="00F10263"/>
    <w:rsid w:val="00F2490D"/>
    <w:rsid w:val="00F30600"/>
    <w:rsid w:val="00F37896"/>
    <w:rsid w:val="00F42F74"/>
    <w:rsid w:val="00F43492"/>
    <w:rsid w:val="00F52B27"/>
    <w:rsid w:val="00F62B6F"/>
    <w:rsid w:val="00F840FA"/>
    <w:rsid w:val="00F975D5"/>
    <w:rsid w:val="00FA0FF9"/>
    <w:rsid w:val="00FA33BF"/>
    <w:rsid w:val="00FA67BC"/>
    <w:rsid w:val="00FB0398"/>
    <w:rsid w:val="00FB0672"/>
    <w:rsid w:val="00FB2F1D"/>
    <w:rsid w:val="00FC20BB"/>
    <w:rsid w:val="00FF3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062F0"/>
  <w15:chartTrackingRefBased/>
  <w15:docId w15:val="{3FFEA1D1-9E73-D94F-9FB3-898D979CD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F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F6D"/>
    <w:pPr>
      <w:ind w:left="720"/>
      <w:contextualSpacing/>
    </w:pPr>
  </w:style>
  <w:style w:type="paragraph" w:styleId="FootnoteText">
    <w:name w:val="footnote text"/>
    <w:basedOn w:val="Normal"/>
    <w:link w:val="FootnoteTextChar"/>
    <w:uiPriority w:val="99"/>
    <w:semiHidden/>
    <w:unhideWhenUsed/>
    <w:rsid w:val="00233F6D"/>
    <w:rPr>
      <w:sz w:val="20"/>
      <w:szCs w:val="20"/>
    </w:rPr>
  </w:style>
  <w:style w:type="character" w:customStyle="1" w:styleId="FootnoteTextChar">
    <w:name w:val="Footnote Text Char"/>
    <w:basedOn w:val="DefaultParagraphFont"/>
    <w:link w:val="FootnoteText"/>
    <w:uiPriority w:val="99"/>
    <w:semiHidden/>
    <w:rsid w:val="00233F6D"/>
    <w:rPr>
      <w:sz w:val="20"/>
      <w:szCs w:val="20"/>
    </w:rPr>
  </w:style>
  <w:style w:type="character" w:styleId="FootnoteReference">
    <w:name w:val="footnote reference"/>
    <w:basedOn w:val="DefaultParagraphFont"/>
    <w:uiPriority w:val="99"/>
    <w:semiHidden/>
    <w:unhideWhenUsed/>
    <w:rsid w:val="00233F6D"/>
    <w:rPr>
      <w:vertAlign w:val="superscript"/>
    </w:rPr>
  </w:style>
  <w:style w:type="character" w:styleId="Hyperlink">
    <w:name w:val="Hyperlink"/>
    <w:basedOn w:val="DefaultParagraphFont"/>
    <w:uiPriority w:val="99"/>
    <w:unhideWhenUsed/>
    <w:qFormat/>
    <w:rsid w:val="00233F6D"/>
    <w:rPr>
      <w:color w:val="0563C1" w:themeColor="hyperlink"/>
      <w:u w:val="single"/>
    </w:rPr>
  </w:style>
  <w:style w:type="character" w:styleId="CommentReference">
    <w:name w:val="annotation reference"/>
    <w:basedOn w:val="DefaultParagraphFont"/>
    <w:uiPriority w:val="99"/>
    <w:semiHidden/>
    <w:unhideWhenUsed/>
    <w:rsid w:val="000F6DCB"/>
    <w:rPr>
      <w:sz w:val="16"/>
      <w:szCs w:val="16"/>
    </w:rPr>
  </w:style>
  <w:style w:type="paragraph" w:styleId="CommentText">
    <w:name w:val="annotation text"/>
    <w:basedOn w:val="Normal"/>
    <w:link w:val="CommentTextChar"/>
    <w:uiPriority w:val="99"/>
    <w:unhideWhenUsed/>
    <w:rsid w:val="000F6DCB"/>
    <w:rPr>
      <w:sz w:val="20"/>
      <w:szCs w:val="20"/>
    </w:rPr>
  </w:style>
  <w:style w:type="character" w:customStyle="1" w:styleId="CommentTextChar">
    <w:name w:val="Comment Text Char"/>
    <w:basedOn w:val="DefaultParagraphFont"/>
    <w:link w:val="CommentText"/>
    <w:uiPriority w:val="99"/>
    <w:rsid w:val="000F6DCB"/>
    <w:rPr>
      <w:sz w:val="20"/>
      <w:szCs w:val="20"/>
    </w:rPr>
  </w:style>
  <w:style w:type="paragraph" w:styleId="CommentSubject">
    <w:name w:val="annotation subject"/>
    <w:basedOn w:val="CommentText"/>
    <w:next w:val="CommentText"/>
    <w:link w:val="CommentSubjectChar"/>
    <w:uiPriority w:val="99"/>
    <w:semiHidden/>
    <w:unhideWhenUsed/>
    <w:rsid w:val="000F6DCB"/>
    <w:rPr>
      <w:b/>
      <w:bCs/>
    </w:rPr>
  </w:style>
  <w:style w:type="character" w:customStyle="1" w:styleId="CommentSubjectChar">
    <w:name w:val="Comment Subject Char"/>
    <w:basedOn w:val="CommentTextChar"/>
    <w:link w:val="CommentSubject"/>
    <w:uiPriority w:val="99"/>
    <w:semiHidden/>
    <w:rsid w:val="000F6DCB"/>
    <w:rPr>
      <w:b/>
      <w:bCs/>
      <w:sz w:val="20"/>
      <w:szCs w:val="20"/>
    </w:rPr>
  </w:style>
  <w:style w:type="paragraph" w:styleId="BalloonText">
    <w:name w:val="Balloon Text"/>
    <w:basedOn w:val="Normal"/>
    <w:link w:val="BalloonTextChar"/>
    <w:uiPriority w:val="99"/>
    <w:semiHidden/>
    <w:unhideWhenUsed/>
    <w:rsid w:val="000F6DC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6DCB"/>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9325BD"/>
    <w:rPr>
      <w:color w:val="605E5C"/>
      <w:shd w:val="clear" w:color="auto" w:fill="E1DFDD"/>
    </w:rPr>
  </w:style>
  <w:style w:type="paragraph" w:styleId="EndnoteText">
    <w:name w:val="endnote text"/>
    <w:basedOn w:val="Normal"/>
    <w:link w:val="EndnoteTextChar"/>
    <w:uiPriority w:val="99"/>
    <w:semiHidden/>
    <w:unhideWhenUsed/>
    <w:rsid w:val="00473C84"/>
    <w:rPr>
      <w:sz w:val="20"/>
      <w:szCs w:val="20"/>
    </w:rPr>
  </w:style>
  <w:style w:type="character" w:customStyle="1" w:styleId="EndnoteTextChar">
    <w:name w:val="Endnote Text Char"/>
    <w:basedOn w:val="DefaultParagraphFont"/>
    <w:link w:val="EndnoteText"/>
    <w:uiPriority w:val="99"/>
    <w:semiHidden/>
    <w:rsid w:val="00473C84"/>
    <w:rPr>
      <w:sz w:val="20"/>
      <w:szCs w:val="20"/>
    </w:rPr>
  </w:style>
  <w:style w:type="character" w:styleId="EndnoteReference">
    <w:name w:val="endnote reference"/>
    <w:basedOn w:val="DefaultParagraphFont"/>
    <w:uiPriority w:val="99"/>
    <w:semiHidden/>
    <w:unhideWhenUsed/>
    <w:rsid w:val="00473C84"/>
    <w:rPr>
      <w:vertAlign w:val="superscript"/>
    </w:rPr>
  </w:style>
  <w:style w:type="character" w:styleId="FollowedHyperlink">
    <w:name w:val="FollowedHyperlink"/>
    <w:basedOn w:val="DefaultParagraphFont"/>
    <w:uiPriority w:val="99"/>
    <w:semiHidden/>
    <w:unhideWhenUsed/>
    <w:rsid w:val="007768B9"/>
    <w:rPr>
      <w:color w:val="954F72" w:themeColor="followedHyperlink"/>
      <w:u w:val="single"/>
    </w:rPr>
  </w:style>
  <w:style w:type="paragraph" w:styleId="Revision">
    <w:name w:val="Revision"/>
    <w:hidden/>
    <w:uiPriority w:val="99"/>
    <w:semiHidden/>
    <w:rsid w:val="008D5B50"/>
  </w:style>
  <w:style w:type="paragraph" w:styleId="Header">
    <w:name w:val="header"/>
    <w:basedOn w:val="Normal"/>
    <w:link w:val="HeaderChar"/>
    <w:uiPriority w:val="99"/>
    <w:unhideWhenUsed/>
    <w:rsid w:val="003C0E5B"/>
    <w:pPr>
      <w:tabs>
        <w:tab w:val="center" w:pos="4680"/>
        <w:tab w:val="right" w:pos="9360"/>
      </w:tabs>
    </w:pPr>
  </w:style>
  <w:style w:type="character" w:customStyle="1" w:styleId="HeaderChar">
    <w:name w:val="Header Char"/>
    <w:basedOn w:val="DefaultParagraphFont"/>
    <w:link w:val="Header"/>
    <w:uiPriority w:val="99"/>
    <w:rsid w:val="003C0E5B"/>
  </w:style>
  <w:style w:type="paragraph" w:styleId="Footer">
    <w:name w:val="footer"/>
    <w:basedOn w:val="Normal"/>
    <w:link w:val="FooterChar"/>
    <w:uiPriority w:val="99"/>
    <w:unhideWhenUsed/>
    <w:rsid w:val="003C0E5B"/>
    <w:pPr>
      <w:tabs>
        <w:tab w:val="center" w:pos="4680"/>
        <w:tab w:val="right" w:pos="9360"/>
      </w:tabs>
    </w:pPr>
  </w:style>
  <w:style w:type="character" w:customStyle="1" w:styleId="FooterChar">
    <w:name w:val="Footer Char"/>
    <w:basedOn w:val="DefaultParagraphFont"/>
    <w:link w:val="Footer"/>
    <w:uiPriority w:val="99"/>
    <w:rsid w:val="003C0E5B"/>
  </w:style>
  <w:style w:type="character" w:styleId="PageNumber">
    <w:name w:val="page number"/>
    <w:basedOn w:val="DefaultParagraphFont"/>
    <w:uiPriority w:val="99"/>
    <w:semiHidden/>
    <w:unhideWhenUsed/>
    <w:rsid w:val="003C0E5B"/>
  </w:style>
  <w:style w:type="paragraph" w:styleId="NormalWeb">
    <w:name w:val="Normal (Web)"/>
    <w:basedOn w:val="Normal"/>
    <w:uiPriority w:val="99"/>
    <w:semiHidden/>
    <w:unhideWhenUsed/>
    <w:rsid w:val="00FC20BB"/>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23111">
      <w:bodyDiv w:val="1"/>
      <w:marLeft w:val="0"/>
      <w:marRight w:val="0"/>
      <w:marTop w:val="0"/>
      <w:marBottom w:val="0"/>
      <w:divBdr>
        <w:top w:val="none" w:sz="0" w:space="0" w:color="auto"/>
        <w:left w:val="none" w:sz="0" w:space="0" w:color="auto"/>
        <w:bottom w:val="none" w:sz="0" w:space="0" w:color="auto"/>
        <w:right w:val="none" w:sz="0" w:space="0" w:color="auto"/>
      </w:divBdr>
    </w:div>
    <w:div w:id="207492155">
      <w:bodyDiv w:val="1"/>
      <w:marLeft w:val="0"/>
      <w:marRight w:val="0"/>
      <w:marTop w:val="0"/>
      <w:marBottom w:val="0"/>
      <w:divBdr>
        <w:top w:val="none" w:sz="0" w:space="0" w:color="auto"/>
        <w:left w:val="none" w:sz="0" w:space="0" w:color="auto"/>
        <w:bottom w:val="none" w:sz="0" w:space="0" w:color="auto"/>
        <w:right w:val="none" w:sz="0" w:space="0" w:color="auto"/>
      </w:divBdr>
    </w:div>
    <w:div w:id="333993593">
      <w:bodyDiv w:val="1"/>
      <w:marLeft w:val="0"/>
      <w:marRight w:val="0"/>
      <w:marTop w:val="0"/>
      <w:marBottom w:val="0"/>
      <w:divBdr>
        <w:top w:val="none" w:sz="0" w:space="0" w:color="auto"/>
        <w:left w:val="none" w:sz="0" w:space="0" w:color="auto"/>
        <w:bottom w:val="none" w:sz="0" w:space="0" w:color="auto"/>
        <w:right w:val="none" w:sz="0" w:space="0" w:color="auto"/>
      </w:divBdr>
    </w:div>
    <w:div w:id="486558972">
      <w:bodyDiv w:val="1"/>
      <w:marLeft w:val="0"/>
      <w:marRight w:val="0"/>
      <w:marTop w:val="0"/>
      <w:marBottom w:val="0"/>
      <w:divBdr>
        <w:top w:val="none" w:sz="0" w:space="0" w:color="auto"/>
        <w:left w:val="none" w:sz="0" w:space="0" w:color="auto"/>
        <w:bottom w:val="none" w:sz="0" w:space="0" w:color="auto"/>
        <w:right w:val="none" w:sz="0" w:space="0" w:color="auto"/>
      </w:divBdr>
    </w:div>
    <w:div w:id="509760966">
      <w:bodyDiv w:val="1"/>
      <w:marLeft w:val="0"/>
      <w:marRight w:val="0"/>
      <w:marTop w:val="0"/>
      <w:marBottom w:val="0"/>
      <w:divBdr>
        <w:top w:val="none" w:sz="0" w:space="0" w:color="auto"/>
        <w:left w:val="none" w:sz="0" w:space="0" w:color="auto"/>
        <w:bottom w:val="none" w:sz="0" w:space="0" w:color="auto"/>
        <w:right w:val="none" w:sz="0" w:space="0" w:color="auto"/>
      </w:divBdr>
    </w:div>
    <w:div w:id="601375626">
      <w:bodyDiv w:val="1"/>
      <w:marLeft w:val="0"/>
      <w:marRight w:val="0"/>
      <w:marTop w:val="0"/>
      <w:marBottom w:val="0"/>
      <w:divBdr>
        <w:top w:val="none" w:sz="0" w:space="0" w:color="auto"/>
        <w:left w:val="none" w:sz="0" w:space="0" w:color="auto"/>
        <w:bottom w:val="none" w:sz="0" w:space="0" w:color="auto"/>
        <w:right w:val="none" w:sz="0" w:space="0" w:color="auto"/>
      </w:divBdr>
    </w:div>
    <w:div w:id="607011354">
      <w:bodyDiv w:val="1"/>
      <w:marLeft w:val="0"/>
      <w:marRight w:val="0"/>
      <w:marTop w:val="0"/>
      <w:marBottom w:val="0"/>
      <w:divBdr>
        <w:top w:val="none" w:sz="0" w:space="0" w:color="auto"/>
        <w:left w:val="none" w:sz="0" w:space="0" w:color="auto"/>
        <w:bottom w:val="none" w:sz="0" w:space="0" w:color="auto"/>
        <w:right w:val="none" w:sz="0" w:space="0" w:color="auto"/>
      </w:divBdr>
    </w:div>
    <w:div w:id="619459795">
      <w:bodyDiv w:val="1"/>
      <w:marLeft w:val="0"/>
      <w:marRight w:val="0"/>
      <w:marTop w:val="0"/>
      <w:marBottom w:val="0"/>
      <w:divBdr>
        <w:top w:val="none" w:sz="0" w:space="0" w:color="auto"/>
        <w:left w:val="none" w:sz="0" w:space="0" w:color="auto"/>
        <w:bottom w:val="none" w:sz="0" w:space="0" w:color="auto"/>
        <w:right w:val="none" w:sz="0" w:space="0" w:color="auto"/>
      </w:divBdr>
    </w:div>
    <w:div w:id="650983662">
      <w:bodyDiv w:val="1"/>
      <w:marLeft w:val="0"/>
      <w:marRight w:val="0"/>
      <w:marTop w:val="0"/>
      <w:marBottom w:val="0"/>
      <w:divBdr>
        <w:top w:val="none" w:sz="0" w:space="0" w:color="auto"/>
        <w:left w:val="none" w:sz="0" w:space="0" w:color="auto"/>
        <w:bottom w:val="none" w:sz="0" w:space="0" w:color="auto"/>
        <w:right w:val="none" w:sz="0" w:space="0" w:color="auto"/>
      </w:divBdr>
    </w:div>
    <w:div w:id="658115667">
      <w:bodyDiv w:val="1"/>
      <w:marLeft w:val="0"/>
      <w:marRight w:val="0"/>
      <w:marTop w:val="0"/>
      <w:marBottom w:val="0"/>
      <w:divBdr>
        <w:top w:val="none" w:sz="0" w:space="0" w:color="auto"/>
        <w:left w:val="none" w:sz="0" w:space="0" w:color="auto"/>
        <w:bottom w:val="none" w:sz="0" w:space="0" w:color="auto"/>
        <w:right w:val="none" w:sz="0" w:space="0" w:color="auto"/>
      </w:divBdr>
    </w:div>
    <w:div w:id="785080704">
      <w:bodyDiv w:val="1"/>
      <w:marLeft w:val="0"/>
      <w:marRight w:val="0"/>
      <w:marTop w:val="0"/>
      <w:marBottom w:val="0"/>
      <w:divBdr>
        <w:top w:val="none" w:sz="0" w:space="0" w:color="auto"/>
        <w:left w:val="none" w:sz="0" w:space="0" w:color="auto"/>
        <w:bottom w:val="none" w:sz="0" w:space="0" w:color="auto"/>
        <w:right w:val="none" w:sz="0" w:space="0" w:color="auto"/>
      </w:divBdr>
    </w:div>
    <w:div w:id="866214574">
      <w:bodyDiv w:val="1"/>
      <w:marLeft w:val="0"/>
      <w:marRight w:val="0"/>
      <w:marTop w:val="0"/>
      <w:marBottom w:val="0"/>
      <w:divBdr>
        <w:top w:val="none" w:sz="0" w:space="0" w:color="auto"/>
        <w:left w:val="none" w:sz="0" w:space="0" w:color="auto"/>
        <w:bottom w:val="none" w:sz="0" w:space="0" w:color="auto"/>
        <w:right w:val="none" w:sz="0" w:space="0" w:color="auto"/>
      </w:divBdr>
    </w:div>
    <w:div w:id="914124583">
      <w:bodyDiv w:val="1"/>
      <w:marLeft w:val="0"/>
      <w:marRight w:val="0"/>
      <w:marTop w:val="0"/>
      <w:marBottom w:val="0"/>
      <w:divBdr>
        <w:top w:val="none" w:sz="0" w:space="0" w:color="auto"/>
        <w:left w:val="none" w:sz="0" w:space="0" w:color="auto"/>
        <w:bottom w:val="none" w:sz="0" w:space="0" w:color="auto"/>
        <w:right w:val="none" w:sz="0" w:space="0" w:color="auto"/>
      </w:divBdr>
    </w:div>
    <w:div w:id="1262763503">
      <w:bodyDiv w:val="1"/>
      <w:marLeft w:val="0"/>
      <w:marRight w:val="0"/>
      <w:marTop w:val="0"/>
      <w:marBottom w:val="0"/>
      <w:divBdr>
        <w:top w:val="none" w:sz="0" w:space="0" w:color="auto"/>
        <w:left w:val="none" w:sz="0" w:space="0" w:color="auto"/>
        <w:bottom w:val="none" w:sz="0" w:space="0" w:color="auto"/>
        <w:right w:val="none" w:sz="0" w:space="0" w:color="auto"/>
      </w:divBdr>
    </w:div>
    <w:div w:id="1292594371">
      <w:bodyDiv w:val="1"/>
      <w:marLeft w:val="0"/>
      <w:marRight w:val="0"/>
      <w:marTop w:val="0"/>
      <w:marBottom w:val="0"/>
      <w:divBdr>
        <w:top w:val="none" w:sz="0" w:space="0" w:color="auto"/>
        <w:left w:val="none" w:sz="0" w:space="0" w:color="auto"/>
        <w:bottom w:val="none" w:sz="0" w:space="0" w:color="auto"/>
        <w:right w:val="none" w:sz="0" w:space="0" w:color="auto"/>
      </w:divBdr>
    </w:div>
    <w:div w:id="1475293251">
      <w:bodyDiv w:val="1"/>
      <w:marLeft w:val="0"/>
      <w:marRight w:val="0"/>
      <w:marTop w:val="0"/>
      <w:marBottom w:val="0"/>
      <w:divBdr>
        <w:top w:val="none" w:sz="0" w:space="0" w:color="auto"/>
        <w:left w:val="none" w:sz="0" w:space="0" w:color="auto"/>
        <w:bottom w:val="none" w:sz="0" w:space="0" w:color="auto"/>
        <w:right w:val="none" w:sz="0" w:space="0" w:color="auto"/>
      </w:divBdr>
    </w:div>
    <w:div w:id="1493252424">
      <w:bodyDiv w:val="1"/>
      <w:marLeft w:val="0"/>
      <w:marRight w:val="0"/>
      <w:marTop w:val="0"/>
      <w:marBottom w:val="0"/>
      <w:divBdr>
        <w:top w:val="none" w:sz="0" w:space="0" w:color="auto"/>
        <w:left w:val="none" w:sz="0" w:space="0" w:color="auto"/>
        <w:bottom w:val="none" w:sz="0" w:space="0" w:color="auto"/>
        <w:right w:val="none" w:sz="0" w:space="0" w:color="auto"/>
      </w:divBdr>
    </w:div>
    <w:div w:id="1777822873">
      <w:bodyDiv w:val="1"/>
      <w:marLeft w:val="0"/>
      <w:marRight w:val="0"/>
      <w:marTop w:val="0"/>
      <w:marBottom w:val="0"/>
      <w:divBdr>
        <w:top w:val="none" w:sz="0" w:space="0" w:color="auto"/>
        <w:left w:val="none" w:sz="0" w:space="0" w:color="auto"/>
        <w:bottom w:val="none" w:sz="0" w:space="0" w:color="auto"/>
        <w:right w:val="none" w:sz="0" w:space="0" w:color="auto"/>
      </w:divBdr>
    </w:div>
    <w:div w:id="1815104139">
      <w:bodyDiv w:val="1"/>
      <w:marLeft w:val="0"/>
      <w:marRight w:val="0"/>
      <w:marTop w:val="0"/>
      <w:marBottom w:val="0"/>
      <w:divBdr>
        <w:top w:val="none" w:sz="0" w:space="0" w:color="auto"/>
        <w:left w:val="none" w:sz="0" w:space="0" w:color="auto"/>
        <w:bottom w:val="none" w:sz="0" w:space="0" w:color="auto"/>
        <w:right w:val="none" w:sz="0" w:space="0" w:color="auto"/>
      </w:divBdr>
    </w:div>
    <w:div w:id="191315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maplecroft.com/insights/analysis/101-countries-witness-rise-in-civil-unrest-in-last-quarter-worst-yet-to-come-as-socioeconomic-pressures-build/" TargetMode="External"/><Relationship Id="rId2" Type="http://schemas.openxmlformats.org/officeDocument/2006/relationships/hyperlink" Target="https://www.bbc.com/news/world-australia-54112991" TargetMode="External"/><Relationship Id="rId1" Type="http://schemas.openxmlformats.org/officeDocument/2006/relationships/hyperlink" Target="https://www.reuters.com/business/brazils-vale-fined-17-mln-brumadinho-tailings-dam-disaster-2022-08-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1923</Words>
  <Characters>10966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Rees</dc:creator>
  <cp:keywords/>
  <dc:description/>
  <cp:lastModifiedBy>Matilda Donaldson</cp:lastModifiedBy>
  <cp:revision>2</cp:revision>
  <cp:lastPrinted>2023-06-01T12:41:00Z</cp:lastPrinted>
  <dcterms:created xsi:type="dcterms:W3CDTF">2023-08-30T15:06:00Z</dcterms:created>
  <dcterms:modified xsi:type="dcterms:W3CDTF">2023-08-30T15:06:00Z</dcterms:modified>
</cp:coreProperties>
</file>